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793" w:rsidRDefault="004576DE" w:rsidP="00576781">
      <w:pPr>
        <w:spacing w:line="480" w:lineRule="auto"/>
        <w:jc w:val="center"/>
        <w:rPr>
          <w:rFonts w:ascii="Times New Roman" w:hAnsi="Times New Roman" w:cs="Times New Roman"/>
          <w:b/>
          <w:bCs/>
          <w:sz w:val="26"/>
          <w:szCs w:val="26"/>
        </w:rPr>
      </w:pPr>
      <w:r w:rsidRPr="004576DE">
        <w:rPr>
          <w:rFonts w:ascii="Times New Roman" w:hAnsi="Times New Roman" w:cs="Times New Roman"/>
          <w:b/>
          <w:bCs/>
          <w:sz w:val="26"/>
          <w:szCs w:val="26"/>
        </w:rPr>
        <w:t xml:space="preserve">Chứng chỉ NOCN và khả năng sử dụng kết quả trong xét tốt nghiệp THPT </w:t>
      </w:r>
    </w:p>
    <w:p w:rsidR="004576DE" w:rsidRPr="004576DE" w:rsidRDefault="004576DE" w:rsidP="00576781">
      <w:pPr>
        <w:spacing w:line="480" w:lineRule="auto"/>
        <w:jc w:val="center"/>
        <w:rPr>
          <w:rFonts w:ascii="Times New Roman" w:hAnsi="Times New Roman" w:cs="Times New Roman"/>
          <w:b/>
          <w:bCs/>
          <w:sz w:val="26"/>
          <w:szCs w:val="26"/>
        </w:rPr>
      </w:pPr>
      <w:r w:rsidRPr="004576DE">
        <w:rPr>
          <w:rFonts w:ascii="Times New Roman" w:hAnsi="Times New Roman" w:cs="Times New Roman"/>
          <w:b/>
          <w:bCs/>
          <w:sz w:val="26"/>
          <w:szCs w:val="26"/>
        </w:rPr>
        <w:t>và tuyển sinh, đào tạo đại học, sau đại học tại Việt Nam</w:t>
      </w:r>
    </w:p>
    <w:p w:rsidR="004576DE" w:rsidRDefault="004576DE" w:rsidP="00576781">
      <w:pPr>
        <w:spacing w:line="480" w:lineRule="auto"/>
        <w:rPr>
          <w:rFonts w:ascii="Times New Roman" w:hAnsi="Times New Roman" w:cs="Times New Roman"/>
          <w:sz w:val="26"/>
          <w:szCs w:val="26"/>
        </w:rPr>
      </w:pPr>
    </w:p>
    <w:p w:rsidR="00A82111" w:rsidRDefault="00A82111" w:rsidP="00576781">
      <w:pPr>
        <w:spacing w:line="480" w:lineRule="auto"/>
        <w:rPr>
          <w:rFonts w:ascii="Times New Roman" w:hAnsi="Times New Roman" w:cs="Times New Roman"/>
          <w:b/>
          <w:bCs/>
          <w:sz w:val="26"/>
          <w:szCs w:val="26"/>
        </w:rPr>
      </w:pPr>
      <w:r>
        <w:rPr>
          <w:rFonts w:ascii="Times New Roman" w:hAnsi="Times New Roman" w:cs="Times New Roman"/>
          <w:b/>
          <w:bCs/>
          <w:sz w:val="26"/>
          <w:szCs w:val="26"/>
        </w:rPr>
        <w:t>Tóm tắt</w:t>
      </w:r>
    </w:p>
    <w:p w:rsidR="00A82111" w:rsidRPr="00A82111" w:rsidRDefault="00A82111" w:rsidP="00576781">
      <w:pPr>
        <w:spacing w:line="480" w:lineRule="auto"/>
        <w:ind w:firstLine="567"/>
        <w:rPr>
          <w:rFonts w:ascii="Times New Roman" w:hAnsi="Times New Roman" w:cs="Times New Roman"/>
          <w:sz w:val="26"/>
          <w:szCs w:val="26"/>
        </w:rPr>
      </w:pPr>
      <w:r w:rsidRPr="00A82111">
        <w:rPr>
          <w:rFonts w:ascii="Times New Roman" w:hAnsi="Times New Roman" w:cs="Times New Roman"/>
          <w:sz w:val="26"/>
          <w:szCs w:val="26"/>
        </w:rPr>
        <w:t>Bài viết đánh giá chứng chỉ NOCN ESOL International và khả năng áp dụng trong hệ thống giáo dục Việt Nam. Dựa trên khung CEFR, nghiên cứu phân tích cấu trúc bài thi, phương pháp đánh giá và các đặc tính như tính khách quan, độ tin cậy và công bằng.</w:t>
      </w:r>
    </w:p>
    <w:p w:rsidR="00A82111" w:rsidRPr="00A82111" w:rsidRDefault="00A82111" w:rsidP="00576781">
      <w:pPr>
        <w:spacing w:line="480" w:lineRule="auto"/>
        <w:ind w:firstLine="567"/>
        <w:rPr>
          <w:rFonts w:ascii="Times New Roman" w:hAnsi="Times New Roman" w:cs="Times New Roman"/>
          <w:sz w:val="26"/>
          <w:szCs w:val="26"/>
        </w:rPr>
      </w:pPr>
      <w:r w:rsidRPr="00A82111">
        <w:rPr>
          <w:rFonts w:ascii="Times New Roman" w:hAnsi="Times New Roman" w:cs="Times New Roman"/>
          <w:sz w:val="26"/>
          <w:szCs w:val="26"/>
        </w:rPr>
        <w:t>So sánh với các bài thi phổ biến tại Việt Nam (IELTS, Aptis ESOL, VSTEP) cho thấy sự tương đồng cao về thiết kế và cách đánh giá. Kết quả nghiên cứu trên 200 thí sinh cho thấy mức tương quan cao (96,5%) giữa NOCN và các chứng chỉ khác ở các trình độ B1</w:t>
      </w:r>
      <w:r>
        <w:rPr>
          <w:rFonts w:ascii="Times New Roman" w:hAnsi="Times New Roman" w:cs="Times New Roman"/>
          <w:sz w:val="26"/>
          <w:szCs w:val="26"/>
        </w:rPr>
        <w:t>-</w:t>
      </w:r>
      <w:r w:rsidRPr="00A82111">
        <w:rPr>
          <w:rFonts w:ascii="Times New Roman" w:hAnsi="Times New Roman" w:cs="Times New Roman"/>
          <w:sz w:val="26"/>
          <w:szCs w:val="26"/>
        </w:rPr>
        <w:t>C1.</w:t>
      </w:r>
    </w:p>
    <w:p w:rsidR="00A82111" w:rsidRPr="00A82111" w:rsidRDefault="00A82111" w:rsidP="00576781">
      <w:pPr>
        <w:spacing w:line="480" w:lineRule="auto"/>
        <w:ind w:firstLine="567"/>
        <w:rPr>
          <w:rFonts w:ascii="Times New Roman" w:hAnsi="Times New Roman" w:cs="Times New Roman"/>
          <w:sz w:val="26"/>
          <w:szCs w:val="26"/>
        </w:rPr>
      </w:pPr>
      <w:r w:rsidRPr="00A82111">
        <w:rPr>
          <w:rFonts w:ascii="Times New Roman" w:hAnsi="Times New Roman" w:cs="Times New Roman"/>
          <w:sz w:val="26"/>
          <w:szCs w:val="26"/>
        </w:rPr>
        <w:t>Kết luận cho thấy NOCN ESOL International là công cụ đánh giá năng lực ngoại ngữ đáng tin cậy, có thể sử dụng trong xét tốt nghiệp, tuyển sinh và đào tạo tại Việt Nam.</w:t>
      </w: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1. Bối cảnh và mục tiêu</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Trong bối cảnh hệ thống giáo dục Việt Nam ngày càng hội nhập với các chuẩn mực quốc tế, việc sử dụng các chứng chỉ ngoại ngữ theo khung tham chiếu chung trở thành một yêu cầu tất yếu nhằm đảm bảo tính minh bạch, so sánh và công nhận lẫn nhau giữa các hệ thống đánh giá.</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 xml:space="preserve">Bài viết này nhằm phân tích một cách hệ thống cấu trúc bài thi, phương pháp đánh giá, cũng như các chỉ số về tính khách quan, độ chính xác và tính công bằng của bài thi NOCN ESOL International; đồng thời đối chiếu với các bài thi quốc tế đang được sử dụng phổ biến trong tuyển sinh và đào tạo tại Việt Nam. Trên cơ sở đó, bài viết cung cấp </w:t>
      </w:r>
      <w:r w:rsidRPr="004576DE">
        <w:rPr>
          <w:rFonts w:ascii="Times New Roman" w:hAnsi="Times New Roman" w:cs="Times New Roman"/>
          <w:sz w:val="26"/>
          <w:szCs w:val="26"/>
        </w:rPr>
        <w:lastRenderedPageBreak/>
        <w:t>minh chứng về tính tương đương và khả năng sử dụng kết quả bài thi NOCN trong các mục đích giáo dục chính thức.</w:t>
      </w:r>
    </w:p>
    <w:p w:rsidR="004576DE" w:rsidRPr="004576DE" w:rsidRDefault="004576DE" w:rsidP="00576781">
      <w:pPr>
        <w:spacing w:line="480" w:lineRule="auto"/>
        <w:rPr>
          <w:rFonts w:ascii="Times New Roman" w:hAnsi="Times New Roman" w:cs="Times New Roman"/>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2. Cơ sở lý luận và khung tham chiếu</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 xml:space="preserve">Bài thi NOCN ESOL International được phát triển dựa trên Council of Europe </w:t>
      </w:r>
      <w:r w:rsidR="00082793">
        <w:rPr>
          <w:rFonts w:ascii="Times New Roman" w:hAnsi="Times New Roman" w:cs="Times New Roman"/>
          <w:sz w:val="26"/>
          <w:szCs w:val="26"/>
        </w:rPr>
        <w:t>-</w:t>
      </w:r>
      <w:r w:rsidRPr="004576DE">
        <w:rPr>
          <w:rFonts w:ascii="Times New Roman" w:hAnsi="Times New Roman" w:cs="Times New Roman"/>
          <w:sz w:val="26"/>
          <w:szCs w:val="26"/>
        </w:rPr>
        <w:t xml:space="preserve"> khung tham chiếu được sử dụng rộng rãi trong thiết kế và đánh giá năng lực ngôn ngữ trên toàn cầu.</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Khung CEFR không chỉ cung cấp mô tả năng lực theo từng cấp độ (A1</w:t>
      </w:r>
      <w:r w:rsidR="00082793">
        <w:rPr>
          <w:rFonts w:ascii="Times New Roman" w:hAnsi="Times New Roman" w:cs="Times New Roman"/>
          <w:sz w:val="26"/>
          <w:szCs w:val="26"/>
        </w:rPr>
        <w:t>-</w:t>
      </w:r>
      <w:r w:rsidRPr="004576DE">
        <w:rPr>
          <w:rFonts w:ascii="Times New Roman" w:hAnsi="Times New Roman" w:cs="Times New Roman"/>
          <w:sz w:val="26"/>
          <w:szCs w:val="26"/>
        </w:rPr>
        <w:t>C2), mà còn định hướng rõ ràng về các loại hình hoạt động ngôn ngữ cần được đánh giá, bao gồm:</w:t>
      </w:r>
    </w:p>
    <w:p w:rsidR="004576DE" w:rsidRPr="00082793" w:rsidRDefault="004576DE" w:rsidP="00576781">
      <w:pPr>
        <w:pStyle w:val="ListParagraph"/>
        <w:numPr>
          <w:ilvl w:val="0"/>
          <w:numId w:val="26"/>
        </w:numPr>
        <w:spacing w:line="480" w:lineRule="auto"/>
        <w:rPr>
          <w:rFonts w:ascii="Times New Roman" w:hAnsi="Times New Roman" w:cs="Times New Roman"/>
          <w:sz w:val="26"/>
          <w:szCs w:val="26"/>
        </w:rPr>
      </w:pPr>
      <w:r w:rsidRPr="00082793">
        <w:rPr>
          <w:rFonts w:ascii="Times New Roman" w:hAnsi="Times New Roman" w:cs="Times New Roman"/>
          <w:sz w:val="26"/>
          <w:szCs w:val="26"/>
        </w:rPr>
        <w:t>Hoạt động tiếp nhận (reception)</w:t>
      </w:r>
    </w:p>
    <w:p w:rsidR="004576DE" w:rsidRPr="00082793" w:rsidRDefault="004576DE" w:rsidP="00576781">
      <w:pPr>
        <w:pStyle w:val="ListParagraph"/>
        <w:numPr>
          <w:ilvl w:val="0"/>
          <w:numId w:val="26"/>
        </w:numPr>
        <w:spacing w:line="480" w:lineRule="auto"/>
        <w:rPr>
          <w:rFonts w:ascii="Times New Roman" w:hAnsi="Times New Roman" w:cs="Times New Roman"/>
          <w:sz w:val="26"/>
          <w:szCs w:val="26"/>
        </w:rPr>
      </w:pPr>
      <w:r w:rsidRPr="00082793">
        <w:rPr>
          <w:rFonts w:ascii="Times New Roman" w:hAnsi="Times New Roman" w:cs="Times New Roman"/>
          <w:sz w:val="26"/>
          <w:szCs w:val="26"/>
        </w:rPr>
        <w:t>Hoạt động sản sinh (production)</w:t>
      </w:r>
    </w:p>
    <w:p w:rsidR="004576DE" w:rsidRPr="00082793" w:rsidRDefault="004576DE" w:rsidP="00576781">
      <w:pPr>
        <w:pStyle w:val="ListParagraph"/>
        <w:numPr>
          <w:ilvl w:val="0"/>
          <w:numId w:val="26"/>
        </w:numPr>
        <w:spacing w:line="480" w:lineRule="auto"/>
        <w:rPr>
          <w:rFonts w:ascii="Times New Roman" w:hAnsi="Times New Roman" w:cs="Times New Roman"/>
          <w:sz w:val="26"/>
          <w:szCs w:val="26"/>
        </w:rPr>
      </w:pPr>
      <w:r w:rsidRPr="00082793">
        <w:rPr>
          <w:rFonts w:ascii="Times New Roman" w:hAnsi="Times New Roman" w:cs="Times New Roman"/>
          <w:sz w:val="26"/>
          <w:szCs w:val="26"/>
        </w:rPr>
        <w:t>Hoạt động tương tác (interaction)</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Đồng thời, Khung năng lực ngoại ngữ 6 bậc dùng cho Việt Nam được xây dựng trên cơ sở tham chiếu trực tiếp từ CEFR, qua đó tạo điều kiện thuận lợi cho việc quy chiếu và so sánh giữa các hệ thống đánh giá.</w:t>
      </w:r>
    </w:p>
    <w:p w:rsidR="004576DE" w:rsidRPr="004576DE" w:rsidRDefault="004576DE" w:rsidP="00576781">
      <w:pPr>
        <w:spacing w:line="480" w:lineRule="auto"/>
        <w:rPr>
          <w:rFonts w:ascii="Times New Roman" w:hAnsi="Times New Roman" w:cs="Times New Roman"/>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3. So sánh cấu trúc bài thi và phương pháp đánh giá</w:t>
      </w: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3.1. Cấu trúc bài thi</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Bài thi NOCN ESOL International được thiết kế theo mô hình đánh giá đầy đủ bốn kỹ năng ngôn ngữ:</w:t>
      </w:r>
    </w:p>
    <w:p w:rsidR="004576DE" w:rsidRPr="00082793" w:rsidRDefault="004576DE" w:rsidP="00576781">
      <w:pPr>
        <w:pStyle w:val="ListParagraph"/>
        <w:numPr>
          <w:ilvl w:val="0"/>
          <w:numId w:val="24"/>
        </w:numPr>
        <w:spacing w:line="480" w:lineRule="auto"/>
        <w:rPr>
          <w:rFonts w:ascii="Times New Roman" w:hAnsi="Times New Roman" w:cs="Times New Roman"/>
          <w:sz w:val="26"/>
          <w:szCs w:val="26"/>
        </w:rPr>
      </w:pPr>
      <w:r w:rsidRPr="00082793">
        <w:rPr>
          <w:rFonts w:ascii="Times New Roman" w:hAnsi="Times New Roman" w:cs="Times New Roman"/>
          <w:sz w:val="26"/>
          <w:szCs w:val="26"/>
        </w:rPr>
        <w:t>Nghe (Listening)</w:t>
      </w:r>
    </w:p>
    <w:p w:rsidR="004576DE" w:rsidRPr="00082793" w:rsidRDefault="004576DE" w:rsidP="00576781">
      <w:pPr>
        <w:pStyle w:val="ListParagraph"/>
        <w:numPr>
          <w:ilvl w:val="0"/>
          <w:numId w:val="24"/>
        </w:numPr>
        <w:spacing w:line="480" w:lineRule="auto"/>
        <w:rPr>
          <w:rFonts w:ascii="Times New Roman" w:hAnsi="Times New Roman" w:cs="Times New Roman"/>
          <w:sz w:val="26"/>
          <w:szCs w:val="26"/>
        </w:rPr>
      </w:pPr>
      <w:r w:rsidRPr="00082793">
        <w:rPr>
          <w:rFonts w:ascii="Times New Roman" w:hAnsi="Times New Roman" w:cs="Times New Roman"/>
          <w:sz w:val="26"/>
          <w:szCs w:val="26"/>
        </w:rPr>
        <w:t>Đọc (Reading)</w:t>
      </w:r>
    </w:p>
    <w:p w:rsidR="004576DE" w:rsidRPr="00082793" w:rsidRDefault="004576DE" w:rsidP="00576781">
      <w:pPr>
        <w:pStyle w:val="ListParagraph"/>
        <w:numPr>
          <w:ilvl w:val="0"/>
          <w:numId w:val="24"/>
        </w:numPr>
        <w:spacing w:line="480" w:lineRule="auto"/>
        <w:rPr>
          <w:rFonts w:ascii="Times New Roman" w:hAnsi="Times New Roman" w:cs="Times New Roman"/>
          <w:sz w:val="26"/>
          <w:szCs w:val="26"/>
        </w:rPr>
      </w:pPr>
      <w:r w:rsidRPr="00082793">
        <w:rPr>
          <w:rFonts w:ascii="Times New Roman" w:hAnsi="Times New Roman" w:cs="Times New Roman"/>
          <w:sz w:val="26"/>
          <w:szCs w:val="26"/>
        </w:rPr>
        <w:lastRenderedPageBreak/>
        <w:t>Viết (Writing)</w:t>
      </w:r>
    </w:p>
    <w:p w:rsidR="004576DE" w:rsidRPr="00082793" w:rsidRDefault="004576DE" w:rsidP="00576781">
      <w:pPr>
        <w:pStyle w:val="ListParagraph"/>
        <w:numPr>
          <w:ilvl w:val="0"/>
          <w:numId w:val="24"/>
        </w:numPr>
        <w:spacing w:line="480" w:lineRule="auto"/>
        <w:rPr>
          <w:rFonts w:ascii="Times New Roman" w:hAnsi="Times New Roman" w:cs="Times New Roman"/>
          <w:sz w:val="26"/>
          <w:szCs w:val="26"/>
        </w:rPr>
      </w:pPr>
      <w:r w:rsidRPr="00082793">
        <w:rPr>
          <w:rFonts w:ascii="Times New Roman" w:hAnsi="Times New Roman" w:cs="Times New Roman"/>
          <w:sz w:val="26"/>
          <w:szCs w:val="26"/>
        </w:rPr>
        <w:t>Nói (Speaking)</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Cấu trúc này tương đồng với các bài thi quốc tế đang được sử dụng rộng rãi tại Việt Nam như IELTS, Aptis ESOL và VSTEP.</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Mỗi kỹ năng trong bài thi NOCN được triển khai thông qua nhiều dạng nhiệm vụ khác nhau, bao gồm:</w:t>
      </w:r>
    </w:p>
    <w:p w:rsidR="004576DE" w:rsidRPr="00082793" w:rsidRDefault="004576DE" w:rsidP="00576781">
      <w:pPr>
        <w:pStyle w:val="ListParagraph"/>
        <w:numPr>
          <w:ilvl w:val="0"/>
          <w:numId w:val="23"/>
        </w:numPr>
        <w:spacing w:line="480" w:lineRule="auto"/>
        <w:rPr>
          <w:rFonts w:ascii="Times New Roman" w:hAnsi="Times New Roman" w:cs="Times New Roman"/>
          <w:sz w:val="26"/>
          <w:szCs w:val="26"/>
        </w:rPr>
      </w:pPr>
      <w:r w:rsidRPr="00082793">
        <w:rPr>
          <w:rFonts w:ascii="Times New Roman" w:hAnsi="Times New Roman" w:cs="Times New Roman"/>
          <w:sz w:val="26"/>
          <w:szCs w:val="26"/>
        </w:rPr>
        <w:t>Câu hỏi trắc nghiệm khách quan</w:t>
      </w:r>
    </w:p>
    <w:p w:rsidR="004576DE" w:rsidRPr="00082793" w:rsidRDefault="004576DE" w:rsidP="00576781">
      <w:pPr>
        <w:pStyle w:val="ListParagraph"/>
        <w:numPr>
          <w:ilvl w:val="0"/>
          <w:numId w:val="23"/>
        </w:numPr>
        <w:spacing w:line="480" w:lineRule="auto"/>
        <w:rPr>
          <w:rFonts w:ascii="Times New Roman" w:hAnsi="Times New Roman" w:cs="Times New Roman"/>
          <w:sz w:val="26"/>
          <w:szCs w:val="26"/>
        </w:rPr>
      </w:pPr>
      <w:r w:rsidRPr="00082793">
        <w:rPr>
          <w:rFonts w:ascii="Times New Roman" w:hAnsi="Times New Roman" w:cs="Times New Roman"/>
          <w:sz w:val="26"/>
          <w:szCs w:val="26"/>
        </w:rPr>
        <w:t>Nhiệm vụ viết có kiểm soát và viết mở rộng</w:t>
      </w:r>
    </w:p>
    <w:p w:rsidR="004576DE" w:rsidRPr="00082793" w:rsidRDefault="004576DE" w:rsidP="00576781">
      <w:pPr>
        <w:pStyle w:val="ListParagraph"/>
        <w:numPr>
          <w:ilvl w:val="0"/>
          <w:numId w:val="23"/>
        </w:numPr>
        <w:spacing w:line="480" w:lineRule="auto"/>
        <w:rPr>
          <w:rFonts w:ascii="Times New Roman" w:hAnsi="Times New Roman" w:cs="Times New Roman"/>
          <w:sz w:val="26"/>
          <w:szCs w:val="26"/>
        </w:rPr>
      </w:pPr>
      <w:r w:rsidRPr="00082793">
        <w:rPr>
          <w:rFonts w:ascii="Times New Roman" w:hAnsi="Times New Roman" w:cs="Times New Roman"/>
          <w:sz w:val="26"/>
          <w:szCs w:val="26"/>
        </w:rPr>
        <w:t>Tình huống giao tiếp và tương tác trong phần thi nói</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Cách tiếp cận này phù hợp với khuyến nghị của ALTE, theo đó việc đa dạng hóa hình thức đánh giá là điều kiện cần thiết để đảm bảo độ bao phủ năng lực và tăng độ giá trị đo lường.</w:t>
      </w:r>
    </w:p>
    <w:p w:rsidR="004576DE" w:rsidRPr="004576DE" w:rsidRDefault="004576DE" w:rsidP="00576781">
      <w:pPr>
        <w:spacing w:line="480" w:lineRule="auto"/>
        <w:rPr>
          <w:rFonts w:ascii="Times New Roman" w:hAnsi="Times New Roman" w:cs="Times New Roman"/>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3.2. Phương pháp đánh giá</w:t>
      </w:r>
    </w:p>
    <w:p w:rsidR="004576DE" w:rsidRPr="004576DE" w:rsidRDefault="004576DE" w:rsidP="00576781">
      <w:pPr>
        <w:spacing w:line="480" w:lineRule="auto"/>
        <w:rPr>
          <w:rFonts w:ascii="Times New Roman" w:hAnsi="Times New Roman" w:cs="Times New Roman"/>
          <w:sz w:val="26"/>
          <w:szCs w:val="26"/>
        </w:rPr>
      </w:pPr>
      <w:r w:rsidRPr="004576DE">
        <w:rPr>
          <w:rFonts w:ascii="Times New Roman" w:hAnsi="Times New Roman" w:cs="Times New Roman"/>
          <w:sz w:val="26"/>
          <w:szCs w:val="26"/>
        </w:rPr>
        <w:t>Bài thi áp dụng kết hợp giữa:</w:t>
      </w:r>
    </w:p>
    <w:p w:rsidR="004576DE" w:rsidRPr="00082793" w:rsidRDefault="004576DE" w:rsidP="00576781">
      <w:pPr>
        <w:pStyle w:val="ListParagraph"/>
        <w:numPr>
          <w:ilvl w:val="0"/>
          <w:numId w:val="25"/>
        </w:numPr>
        <w:spacing w:line="480" w:lineRule="auto"/>
        <w:rPr>
          <w:rFonts w:ascii="Times New Roman" w:hAnsi="Times New Roman" w:cs="Times New Roman"/>
          <w:sz w:val="26"/>
          <w:szCs w:val="26"/>
        </w:rPr>
      </w:pPr>
      <w:r w:rsidRPr="00082793">
        <w:rPr>
          <w:rFonts w:ascii="Times New Roman" w:hAnsi="Times New Roman" w:cs="Times New Roman"/>
          <w:sz w:val="26"/>
          <w:szCs w:val="26"/>
        </w:rPr>
        <w:t>Đánh giá khách quan (objective assessment) đối với các kỹ năng tiếp nhận (Nghe, Đọc);</w:t>
      </w:r>
    </w:p>
    <w:p w:rsidR="004576DE" w:rsidRPr="00082793" w:rsidRDefault="004576DE" w:rsidP="00576781">
      <w:pPr>
        <w:pStyle w:val="ListParagraph"/>
        <w:numPr>
          <w:ilvl w:val="0"/>
          <w:numId w:val="25"/>
        </w:numPr>
        <w:spacing w:line="480" w:lineRule="auto"/>
        <w:rPr>
          <w:rFonts w:ascii="Times New Roman" w:hAnsi="Times New Roman" w:cs="Times New Roman"/>
          <w:sz w:val="26"/>
          <w:szCs w:val="26"/>
        </w:rPr>
      </w:pPr>
      <w:r w:rsidRPr="00082793">
        <w:rPr>
          <w:rFonts w:ascii="Times New Roman" w:hAnsi="Times New Roman" w:cs="Times New Roman"/>
          <w:sz w:val="26"/>
          <w:szCs w:val="26"/>
        </w:rPr>
        <w:t>Đánh giá dựa trên tiêu chí (criterion-referenced assessment) đối với các kỹ năng sản sinh (Viết, Nói), thông qua hệ thống thang đo (rating scales) được chuẩn hóa theo CEFR.</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lastRenderedPageBreak/>
        <w:t>Cách tiếp cận này tương đồng với các hệ thống đánh giá quốc tế hiện hành, đảm bảo rằng kết quả bài thi phản ánh trực tiếp năng lực sử dụng ngôn ngữ thay vì so sánh tương đối giữa các thí sinh.</w:t>
      </w:r>
    </w:p>
    <w:p w:rsidR="004576DE" w:rsidRDefault="004576DE" w:rsidP="00576781">
      <w:pPr>
        <w:spacing w:line="480" w:lineRule="auto"/>
        <w:rPr>
          <w:rFonts w:ascii="Times New Roman" w:hAnsi="Times New Roman" w:cs="Times New Roman"/>
          <w:b/>
          <w:bCs/>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4. Tính khách quan, độ chính xác và tính công bằng</w:t>
      </w: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4.1. Tính khách quan</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Các kỹ năng Nghe và Đọc được chấm điểm dựa trên hệ thống đáp án chuẩn hóa, qua đó đảm bảo tính khách quan và loại bỏ ảnh hưởng của yếu tố chủ quan trong quá trình chấm thi.</w:t>
      </w:r>
    </w:p>
    <w:p w:rsidR="004576DE" w:rsidRPr="004576DE" w:rsidRDefault="004576DE" w:rsidP="00576781">
      <w:pPr>
        <w:spacing w:line="480" w:lineRule="auto"/>
        <w:rPr>
          <w:rFonts w:ascii="Times New Roman" w:hAnsi="Times New Roman" w:cs="Times New Roman"/>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4.2. Độ chính xác và độ tin cậy</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Đối với các kỹ năng Viết và Nói, bài thi áp dụng hệ thống giám khảo được tuyển chọn, đào tạo và chuẩn hóa định kỳ. Quy trình này bao gồm:</w:t>
      </w:r>
    </w:p>
    <w:p w:rsidR="004576DE" w:rsidRPr="00082793" w:rsidRDefault="004576DE" w:rsidP="00576781">
      <w:pPr>
        <w:pStyle w:val="ListParagraph"/>
        <w:numPr>
          <w:ilvl w:val="0"/>
          <w:numId w:val="27"/>
        </w:numPr>
        <w:spacing w:line="480" w:lineRule="auto"/>
        <w:rPr>
          <w:rFonts w:ascii="Times New Roman" w:hAnsi="Times New Roman" w:cs="Times New Roman"/>
          <w:sz w:val="26"/>
          <w:szCs w:val="26"/>
        </w:rPr>
      </w:pPr>
      <w:r w:rsidRPr="00082793">
        <w:rPr>
          <w:rFonts w:ascii="Times New Roman" w:hAnsi="Times New Roman" w:cs="Times New Roman"/>
          <w:sz w:val="26"/>
          <w:szCs w:val="26"/>
        </w:rPr>
        <w:t>Đào tạo ban đầu và cấp chứng nhận giám khảo;</w:t>
      </w:r>
    </w:p>
    <w:p w:rsidR="004576DE" w:rsidRPr="00082793" w:rsidRDefault="004576DE" w:rsidP="00576781">
      <w:pPr>
        <w:pStyle w:val="ListParagraph"/>
        <w:numPr>
          <w:ilvl w:val="0"/>
          <w:numId w:val="27"/>
        </w:numPr>
        <w:spacing w:line="480" w:lineRule="auto"/>
        <w:rPr>
          <w:rFonts w:ascii="Times New Roman" w:hAnsi="Times New Roman" w:cs="Times New Roman"/>
          <w:sz w:val="26"/>
          <w:szCs w:val="26"/>
        </w:rPr>
      </w:pPr>
      <w:r w:rsidRPr="00082793">
        <w:rPr>
          <w:rFonts w:ascii="Times New Roman" w:hAnsi="Times New Roman" w:cs="Times New Roman"/>
          <w:sz w:val="26"/>
          <w:szCs w:val="26"/>
        </w:rPr>
        <w:t>Chuẩn hóa hiệu chỉnh định kỳ;</w:t>
      </w:r>
    </w:p>
    <w:p w:rsidR="004576DE" w:rsidRPr="00082793" w:rsidRDefault="004576DE" w:rsidP="00576781">
      <w:pPr>
        <w:pStyle w:val="ListParagraph"/>
        <w:numPr>
          <w:ilvl w:val="0"/>
          <w:numId w:val="27"/>
        </w:numPr>
        <w:spacing w:line="480" w:lineRule="auto"/>
        <w:rPr>
          <w:rFonts w:ascii="Times New Roman" w:hAnsi="Times New Roman" w:cs="Times New Roman"/>
          <w:sz w:val="26"/>
          <w:szCs w:val="26"/>
        </w:rPr>
      </w:pPr>
      <w:r w:rsidRPr="00082793">
        <w:rPr>
          <w:rFonts w:ascii="Times New Roman" w:hAnsi="Times New Roman" w:cs="Times New Roman"/>
          <w:sz w:val="26"/>
          <w:szCs w:val="26"/>
        </w:rPr>
        <w:t>Giám sát và đánh giá hiệu suất chấm thi.</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Các cơ chế này phù hợp với yêu cầu của Ofqual về việc đảm bảo độ tin cậy và tính nhất quán trong đánh giá.</w:t>
      </w:r>
    </w:p>
    <w:p w:rsidR="004576DE" w:rsidRPr="004576DE" w:rsidRDefault="004576DE" w:rsidP="00576781">
      <w:pPr>
        <w:spacing w:line="480" w:lineRule="auto"/>
        <w:rPr>
          <w:rFonts w:ascii="Times New Roman" w:hAnsi="Times New Roman" w:cs="Times New Roman"/>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4.3. Tính công bằng và khả năng tiếp cận</w:t>
      </w:r>
    </w:p>
    <w:p w:rsidR="004576DE" w:rsidRPr="004576DE" w:rsidRDefault="004576DE" w:rsidP="00576781">
      <w:pPr>
        <w:spacing w:line="480" w:lineRule="auto"/>
        <w:rPr>
          <w:rFonts w:ascii="Times New Roman" w:hAnsi="Times New Roman" w:cs="Times New Roman"/>
          <w:sz w:val="26"/>
          <w:szCs w:val="26"/>
        </w:rPr>
      </w:pPr>
      <w:r w:rsidRPr="004576DE">
        <w:rPr>
          <w:rFonts w:ascii="Times New Roman" w:hAnsi="Times New Roman" w:cs="Times New Roman"/>
          <w:sz w:val="26"/>
          <w:szCs w:val="26"/>
        </w:rPr>
        <w:t>Bài thi được thiết kế với nhiều dạng nhiệm vụ và ngữ cảnh khác nhau, nhằm:</w:t>
      </w:r>
    </w:p>
    <w:p w:rsidR="004576DE" w:rsidRPr="004576DE" w:rsidRDefault="004576DE" w:rsidP="00576781">
      <w:pPr>
        <w:pStyle w:val="ListParagraph"/>
        <w:numPr>
          <w:ilvl w:val="0"/>
          <w:numId w:val="14"/>
        </w:numPr>
        <w:spacing w:line="480" w:lineRule="auto"/>
        <w:rPr>
          <w:rFonts w:ascii="Times New Roman" w:hAnsi="Times New Roman" w:cs="Times New Roman"/>
          <w:sz w:val="26"/>
          <w:szCs w:val="26"/>
        </w:rPr>
      </w:pPr>
      <w:r w:rsidRPr="004576DE">
        <w:rPr>
          <w:rFonts w:ascii="Times New Roman" w:hAnsi="Times New Roman" w:cs="Times New Roman"/>
          <w:sz w:val="26"/>
          <w:szCs w:val="26"/>
        </w:rPr>
        <w:t>Giảm thiểu thiên lệch do định dạng câu hỏi;</w:t>
      </w:r>
    </w:p>
    <w:p w:rsidR="004576DE" w:rsidRPr="004576DE" w:rsidRDefault="004576DE" w:rsidP="00576781">
      <w:pPr>
        <w:pStyle w:val="ListParagraph"/>
        <w:numPr>
          <w:ilvl w:val="0"/>
          <w:numId w:val="14"/>
        </w:numPr>
        <w:spacing w:line="480" w:lineRule="auto"/>
        <w:rPr>
          <w:rFonts w:ascii="Times New Roman" w:hAnsi="Times New Roman" w:cs="Times New Roman"/>
          <w:sz w:val="26"/>
          <w:szCs w:val="26"/>
        </w:rPr>
      </w:pPr>
      <w:r w:rsidRPr="004576DE">
        <w:rPr>
          <w:rFonts w:ascii="Times New Roman" w:hAnsi="Times New Roman" w:cs="Times New Roman"/>
          <w:sz w:val="26"/>
          <w:szCs w:val="26"/>
        </w:rPr>
        <w:lastRenderedPageBreak/>
        <w:t>Tạo điều kiện cho thí sinh từ các nền tảng khác nhau thể hiện năng lực;</w:t>
      </w:r>
    </w:p>
    <w:p w:rsidR="004576DE" w:rsidRPr="004576DE" w:rsidRDefault="004576DE" w:rsidP="00576781">
      <w:pPr>
        <w:pStyle w:val="ListParagraph"/>
        <w:numPr>
          <w:ilvl w:val="0"/>
          <w:numId w:val="14"/>
        </w:numPr>
        <w:spacing w:line="480" w:lineRule="auto"/>
        <w:rPr>
          <w:rFonts w:ascii="Times New Roman" w:hAnsi="Times New Roman" w:cs="Times New Roman"/>
          <w:sz w:val="26"/>
          <w:szCs w:val="26"/>
        </w:rPr>
      </w:pPr>
      <w:r w:rsidRPr="004576DE">
        <w:rPr>
          <w:rFonts w:ascii="Times New Roman" w:hAnsi="Times New Roman" w:cs="Times New Roman"/>
          <w:sz w:val="26"/>
          <w:szCs w:val="26"/>
        </w:rPr>
        <w:t>Đảm bảo tính tiếp cận đối với nhiều nhóm người học.</w:t>
      </w:r>
    </w:p>
    <w:p w:rsidR="004576DE" w:rsidRPr="004576DE" w:rsidRDefault="004576DE" w:rsidP="00576781">
      <w:pPr>
        <w:spacing w:line="480" w:lineRule="auto"/>
        <w:rPr>
          <w:rFonts w:ascii="Times New Roman" w:hAnsi="Times New Roman" w:cs="Times New Roman"/>
          <w:sz w:val="26"/>
          <w:szCs w:val="26"/>
        </w:rPr>
      </w:pPr>
      <w:r w:rsidRPr="004576DE">
        <w:rPr>
          <w:rFonts w:ascii="Times New Roman" w:hAnsi="Times New Roman" w:cs="Times New Roman"/>
          <w:sz w:val="26"/>
          <w:szCs w:val="26"/>
        </w:rPr>
        <w:t>Các nguyên tắc này phù hợp với các chuẩn mực quốc tế về đánh giá công bằng trong khảo thí ngôn ngữ.</w:t>
      </w:r>
    </w:p>
    <w:p w:rsidR="004576DE" w:rsidRPr="004576DE" w:rsidRDefault="004576DE" w:rsidP="00576781">
      <w:pPr>
        <w:spacing w:line="480" w:lineRule="auto"/>
        <w:rPr>
          <w:rFonts w:ascii="Times New Roman" w:hAnsi="Times New Roman" w:cs="Times New Roman"/>
          <w:sz w:val="26"/>
          <w:szCs w:val="26"/>
        </w:rPr>
      </w:pPr>
    </w:p>
    <w:p w:rsid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5. Minh chứng thực nghiệm về tính tương đương</w:t>
      </w: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sz w:val="26"/>
          <w:szCs w:val="26"/>
        </w:rPr>
        <w:t>Một nghiên cứu đối sánh đã được thực hiện trên 200 thí sinh Việt Nam có chứng chỉ ngoại ngữ quốc tế (IELTS, Aptis ESOL) hoặc chứng chỉ quốc gia (VSTEP).</w:t>
      </w:r>
      <w:r>
        <w:rPr>
          <w:rFonts w:ascii="Times New Roman" w:hAnsi="Times New Roman" w:cs="Times New Roman"/>
          <w:sz w:val="26"/>
          <w:szCs w:val="26"/>
        </w:rPr>
        <w:t xml:space="preserve"> </w:t>
      </w:r>
    </w:p>
    <w:p w:rsidR="004576DE" w:rsidRDefault="004576DE" w:rsidP="00576781">
      <w:pPr>
        <w:spacing w:line="480" w:lineRule="auto"/>
        <w:rPr>
          <w:rFonts w:ascii="Times New Roman" w:hAnsi="Times New Roman" w:cs="Times New Roman"/>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5.1. Phương pháp nghiên cứu</w:t>
      </w:r>
    </w:p>
    <w:p w:rsidR="004576DE" w:rsidRPr="004576DE" w:rsidRDefault="004576DE" w:rsidP="00576781">
      <w:pPr>
        <w:pStyle w:val="ListParagraph"/>
        <w:numPr>
          <w:ilvl w:val="0"/>
          <w:numId w:val="15"/>
        </w:numPr>
        <w:spacing w:line="480" w:lineRule="auto"/>
        <w:rPr>
          <w:rFonts w:ascii="Times New Roman" w:hAnsi="Times New Roman" w:cs="Times New Roman"/>
          <w:sz w:val="26"/>
          <w:szCs w:val="26"/>
        </w:rPr>
      </w:pPr>
      <w:r w:rsidRPr="004576DE">
        <w:rPr>
          <w:rFonts w:ascii="Times New Roman" w:hAnsi="Times New Roman" w:cs="Times New Roman"/>
          <w:sz w:val="26"/>
          <w:szCs w:val="26"/>
        </w:rPr>
        <w:t>Thí sinh tham gia bài thi NOCN ESOL International;</w:t>
      </w:r>
    </w:p>
    <w:p w:rsidR="004576DE" w:rsidRPr="004576DE" w:rsidRDefault="004576DE" w:rsidP="00576781">
      <w:pPr>
        <w:pStyle w:val="ListParagraph"/>
        <w:numPr>
          <w:ilvl w:val="0"/>
          <w:numId w:val="15"/>
        </w:numPr>
        <w:spacing w:line="480" w:lineRule="auto"/>
        <w:rPr>
          <w:rFonts w:ascii="Times New Roman" w:hAnsi="Times New Roman" w:cs="Times New Roman"/>
          <w:sz w:val="26"/>
          <w:szCs w:val="26"/>
        </w:rPr>
      </w:pPr>
      <w:r w:rsidRPr="004576DE">
        <w:rPr>
          <w:rFonts w:ascii="Times New Roman" w:hAnsi="Times New Roman" w:cs="Times New Roman"/>
          <w:sz w:val="26"/>
          <w:szCs w:val="26"/>
        </w:rPr>
        <w:t>Kết quả được đối chiếu với các chứng chỉ đã đạt;</w:t>
      </w:r>
    </w:p>
    <w:p w:rsidR="004576DE" w:rsidRPr="004576DE" w:rsidRDefault="004576DE" w:rsidP="00576781">
      <w:pPr>
        <w:pStyle w:val="ListParagraph"/>
        <w:numPr>
          <w:ilvl w:val="0"/>
          <w:numId w:val="15"/>
        </w:numPr>
        <w:spacing w:line="480" w:lineRule="auto"/>
        <w:rPr>
          <w:rFonts w:ascii="Times New Roman" w:hAnsi="Times New Roman" w:cs="Times New Roman"/>
          <w:sz w:val="26"/>
          <w:szCs w:val="26"/>
        </w:rPr>
      </w:pPr>
      <w:r w:rsidRPr="004576DE">
        <w:rPr>
          <w:rFonts w:ascii="Times New Roman" w:hAnsi="Times New Roman" w:cs="Times New Roman"/>
          <w:sz w:val="26"/>
          <w:szCs w:val="26"/>
        </w:rPr>
        <w:t>Phân tích mức độ tương quan giữa các hệ thống đánh giá.</w:t>
      </w:r>
    </w:p>
    <w:p w:rsidR="004576DE" w:rsidRDefault="004576DE" w:rsidP="00576781">
      <w:pPr>
        <w:spacing w:line="480" w:lineRule="auto"/>
        <w:rPr>
          <w:rFonts w:ascii="Times New Roman" w:hAnsi="Times New Roman" w:cs="Times New Roman"/>
          <w:b/>
          <w:bCs/>
          <w:sz w:val="26"/>
          <w:szCs w:val="26"/>
        </w:rPr>
      </w:pPr>
    </w:p>
    <w:p w:rsidR="004576DE" w:rsidRPr="004576DE" w:rsidRDefault="004576DE" w:rsidP="00576781">
      <w:pPr>
        <w:spacing w:line="480" w:lineRule="auto"/>
        <w:rPr>
          <w:rFonts w:ascii="Times New Roman" w:hAnsi="Times New Roman" w:cs="Times New Roman"/>
          <w:b/>
          <w:bCs/>
          <w:sz w:val="26"/>
          <w:szCs w:val="26"/>
        </w:rPr>
      </w:pPr>
      <w:r w:rsidRPr="004576DE">
        <w:rPr>
          <w:rFonts w:ascii="Times New Roman" w:hAnsi="Times New Roman" w:cs="Times New Roman"/>
          <w:b/>
          <w:bCs/>
          <w:sz w:val="26"/>
          <w:szCs w:val="26"/>
        </w:rPr>
        <w:t>5.2. Kết quả chính</w:t>
      </w:r>
    </w:p>
    <w:p w:rsidR="004576DE" w:rsidRPr="004576DE" w:rsidRDefault="004576DE" w:rsidP="00576781">
      <w:pPr>
        <w:pStyle w:val="ListParagraph"/>
        <w:numPr>
          <w:ilvl w:val="0"/>
          <w:numId w:val="16"/>
        </w:numPr>
        <w:spacing w:line="480" w:lineRule="auto"/>
        <w:rPr>
          <w:rFonts w:ascii="Times New Roman" w:hAnsi="Times New Roman" w:cs="Times New Roman"/>
          <w:sz w:val="26"/>
          <w:szCs w:val="26"/>
        </w:rPr>
      </w:pPr>
      <w:r w:rsidRPr="004576DE">
        <w:rPr>
          <w:rFonts w:ascii="Times New Roman" w:hAnsi="Times New Roman" w:cs="Times New Roman"/>
          <w:sz w:val="26"/>
          <w:szCs w:val="26"/>
        </w:rPr>
        <w:t>Tỷ lệ tương quan tổng thể: 96.5%</w:t>
      </w:r>
    </w:p>
    <w:p w:rsidR="004576DE" w:rsidRDefault="004576DE" w:rsidP="00576781">
      <w:pPr>
        <w:pStyle w:val="ListParagraph"/>
        <w:numPr>
          <w:ilvl w:val="0"/>
          <w:numId w:val="16"/>
        </w:numPr>
        <w:spacing w:line="480" w:lineRule="auto"/>
        <w:rPr>
          <w:rFonts w:ascii="Times New Roman" w:hAnsi="Times New Roman" w:cs="Times New Roman"/>
          <w:sz w:val="26"/>
          <w:szCs w:val="26"/>
        </w:rPr>
      </w:pPr>
      <w:r w:rsidRPr="004576DE">
        <w:rPr>
          <w:rFonts w:ascii="Times New Roman" w:hAnsi="Times New Roman" w:cs="Times New Roman"/>
          <w:sz w:val="26"/>
          <w:szCs w:val="26"/>
        </w:rPr>
        <w:t>Mức độ tương thích theo cấp độ:</w:t>
      </w:r>
    </w:p>
    <w:p w:rsidR="004576DE" w:rsidRDefault="004576DE" w:rsidP="00576781">
      <w:pPr>
        <w:pStyle w:val="ListParagraph"/>
        <w:numPr>
          <w:ilvl w:val="0"/>
          <w:numId w:val="17"/>
        </w:numPr>
        <w:spacing w:line="480" w:lineRule="auto"/>
        <w:rPr>
          <w:rFonts w:ascii="Times New Roman" w:hAnsi="Times New Roman" w:cs="Times New Roman"/>
          <w:sz w:val="26"/>
          <w:szCs w:val="26"/>
        </w:rPr>
      </w:pPr>
      <w:r w:rsidRPr="004576DE">
        <w:rPr>
          <w:rFonts w:ascii="Times New Roman" w:hAnsi="Times New Roman" w:cs="Times New Roman"/>
          <w:sz w:val="26"/>
          <w:szCs w:val="26"/>
        </w:rPr>
        <w:t>B1: khoảng 94.6%</w:t>
      </w:r>
    </w:p>
    <w:p w:rsidR="004576DE" w:rsidRDefault="004576DE" w:rsidP="00576781">
      <w:pPr>
        <w:pStyle w:val="ListParagraph"/>
        <w:numPr>
          <w:ilvl w:val="0"/>
          <w:numId w:val="17"/>
        </w:numPr>
        <w:spacing w:line="480" w:lineRule="auto"/>
        <w:rPr>
          <w:rFonts w:ascii="Times New Roman" w:hAnsi="Times New Roman" w:cs="Times New Roman"/>
          <w:sz w:val="26"/>
          <w:szCs w:val="26"/>
        </w:rPr>
      </w:pPr>
      <w:r w:rsidRPr="004576DE">
        <w:rPr>
          <w:rFonts w:ascii="Times New Roman" w:hAnsi="Times New Roman" w:cs="Times New Roman"/>
          <w:sz w:val="26"/>
          <w:szCs w:val="26"/>
        </w:rPr>
        <w:t>B2: khoảng 94.6%</w:t>
      </w:r>
    </w:p>
    <w:p w:rsidR="004576DE" w:rsidRPr="004576DE" w:rsidRDefault="004576DE" w:rsidP="00576781">
      <w:pPr>
        <w:pStyle w:val="ListParagraph"/>
        <w:numPr>
          <w:ilvl w:val="0"/>
          <w:numId w:val="17"/>
        </w:numPr>
        <w:spacing w:line="480" w:lineRule="auto"/>
        <w:rPr>
          <w:rFonts w:ascii="Times New Roman" w:hAnsi="Times New Roman" w:cs="Times New Roman"/>
          <w:sz w:val="26"/>
          <w:szCs w:val="26"/>
        </w:rPr>
      </w:pPr>
      <w:r w:rsidRPr="004576DE">
        <w:rPr>
          <w:rFonts w:ascii="Times New Roman" w:hAnsi="Times New Roman" w:cs="Times New Roman"/>
          <w:sz w:val="26"/>
          <w:szCs w:val="26"/>
        </w:rPr>
        <w:t>C1: khoảng 94.1%</w:t>
      </w:r>
    </w:p>
    <w:p w:rsidR="004576DE" w:rsidRPr="004576DE" w:rsidRDefault="004576DE" w:rsidP="00576781">
      <w:pPr>
        <w:spacing w:line="480" w:lineRule="auto"/>
        <w:rPr>
          <w:rFonts w:ascii="Times New Roman" w:hAnsi="Times New Roman" w:cs="Times New Roman"/>
          <w:sz w:val="26"/>
          <w:szCs w:val="26"/>
        </w:rPr>
      </w:pPr>
      <w:r w:rsidRPr="004576DE">
        <w:rPr>
          <w:rFonts w:ascii="Times New Roman" w:hAnsi="Times New Roman" w:cs="Times New Roman"/>
          <w:sz w:val="26"/>
          <w:szCs w:val="26"/>
        </w:rPr>
        <w:lastRenderedPageBreak/>
        <w:t>Các kết quả này cho thấy sự nhất quán cao giữa bài thi NOCN và các hệ thống đánh giá đang được sử dụng trong giáo dục tại Việt Nam.</w:t>
      </w:r>
    </w:p>
    <w:p w:rsidR="004576DE" w:rsidRPr="004576DE" w:rsidRDefault="004576DE" w:rsidP="00576781">
      <w:pPr>
        <w:spacing w:line="480" w:lineRule="auto"/>
        <w:rPr>
          <w:rFonts w:ascii="Times New Roman" w:hAnsi="Times New Roman" w:cs="Times New Roman"/>
          <w:sz w:val="26"/>
          <w:szCs w:val="26"/>
        </w:rPr>
      </w:pPr>
    </w:p>
    <w:p w:rsidR="004576DE" w:rsidRPr="00082793" w:rsidRDefault="004576DE" w:rsidP="00576781">
      <w:pPr>
        <w:spacing w:line="480" w:lineRule="auto"/>
        <w:rPr>
          <w:rFonts w:ascii="Times New Roman" w:hAnsi="Times New Roman" w:cs="Times New Roman"/>
          <w:b/>
          <w:bCs/>
          <w:sz w:val="26"/>
          <w:szCs w:val="26"/>
        </w:rPr>
      </w:pPr>
      <w:r w:rsidRPr="00082793">
        <w:rPr>
          <w:rFonts w:ascii="Times New Roman" w:hAnsi="Times New Roman" w:cs="Times New Roman"/>
          <w:b/>
          <w:bCs/>
          <w:sz w:val="26"/>
          <w:szCs w:val="26"/>
        </w:rPr>
        <w:t>6. Quy chiếu tương đương và khả năng sử dụng</w:t>
      </w:r>
    </w:p>
    <w:p w:rsidR="004576DE" w:rsidRPr="004576DE" w:rsidRDefault="004576DE" w:rsidP="00576781">
      <w:pPr>
        <w:spacing w:line="480" w:lineRule="auto"/>
        <w:rPr>
          <w:rFonts w:ascii="Times New Roman" w:hAnsi="Times New Roman" w:cs="Times New Roman"/>
          <w:sz w:val="26"/>
          <w:szCs w:val="26"/>
        </w:rPr>
      </w:pPr>
      <w:r w:rsidRPr="004576DE">
        <w:rPr>
          <w:rFonts w:ascii="Times New Roman" w:hAnsi="Times New Roman" w:cs="Times New Roman"/>
          <w:sz w:val="26"/>
          <w:szCs w:val="26"/>
        </w:rPr>
        <w:t>Dựa trên thiết kế theo CEFR và kết quả nghiên cứu đối sánh, có thể xác lập mối tương quan giữa các hệ thống như sau:</w:t>
      </w:r>
    </w:p>
    <w:p w:rsidR="004576DE" w:rsidRPr="00082793" w:rsidRDefault="004576DE" w:rsidP="00576781">
      <w:pPr>
        <w:pStyle w:val="ListParagraph"/>
        <w:numPr>
          <w:ilvl w:val="0"/>
          <w:numId w:val="21"/>
        </w:numPr>
        <w:spacing w:line="480" w:lineRule="auto"/>
        <w:rPr>
          <w:rFonts w:ascii="Times New Roman" w:hAnsi="Times New Roman" w:cs="Times New Roman"/>
          <w:sz w:val="26"/>
          <w:szCs w:val="26"/>
        </w:rPr>
      </w:pPr>
      <w:r w:rsidRPr="00082793">
        <w:rPr>
          <w:rFonts w:ascii="Times New Roman" w:hAnsi="Times New Roman" w:cs="Times New Roman"/>
          <w:sz w:val="26"/>
          <w:szCs w:val="26"/>
        </w:rPr>
        <w:t>B1 (CEFR) tương đương Bậc 3 (KNLNNVN)</w:t>
      </w:r>
    </w:p>
    <w:p w:rsidR="004576DE" w:rsidRPr="00082793" w:rsidRDefault="004576DE" w:rsidP="00576781">
      <w:pPr>
        <w:pStyle w:val="ListParagraph"/>
        <w:numPr>
          <w:ilvl w:val="0"/>
          <w:numId w:val="21"/>
        </w:numPr>
        <w:spacing w:line="480" w:lineRule="auto"/>
        <w:rPr>
          <w:rFonts w:ascii="Times New Roman" w:hAnsi="Times New Roman" w:cs="Times New Roman"/>
          <w:sz w:val="26"/>
          <w:szCs w:val="26"/>
        </w:rPr>
      </w:pPr>
      <w:r w:rsidRPr="00082793">
        <w:rPr>
          <w:rFonts w:ascii="Times New Roman" w:hAnsi="Times New Roman" w:cs="Times New Roman"/>
          <w:sz w:val="26"/>
          <w:szCs w:val="26"/>
        </w:rPr>
        <w:t>B2 (CEFR) tương đương Bậc 4 (KNLNNVN)</w:t>
      </w:r>
    </w:p>
    <w:p w:rsidR="004576DE" w:rsidRPr="00082793" w:rsidRDefault="004576DE" w:rsidP="00576781">
      <w:pPr>
        <w:pStyle w:val="ListParagraph"/>
        <w:numPr>
          <w:ilvl w:val="0"/>
          <w:numId w:val="21"/>
        </w:numPr>
        <w:spacing w:line="480" w:lineRule="auto"/>
        <w:rPr>
          <w:rFonts w:ascii="Times New Roman" w:hAnsi="Times New Roman" w:cs="Times New Roman"/>
          <w:sz w:val="26"/>
          <w:szCs w:val="26"/>
        </w:rPr>
      </w:pPr>
      <w:r w:rsidRPr="00082793">
        <w:rPr>
          <w:rFonts w:ascii="Times New Roman" w:hAnsi="Times New Roman" w:cs="Times New Roman"/>
          <w:sz w:val="26"/>
          <w:szCs w:val="26"/>
        </w:rPr>
        <w:t>C1 (CEFR) tương đương Bậc 5 (KNLNNVN)</w:t>
      </w:r>
    </w:p>
    <w:p w:rsidR="004576DE" w:rsidRPr="004576DE" w:rsidRDefault="004576DE" w:rsidP="00576781">
      <w:pPr>
        <w:spacing w:line="480" w:lineRule="auto"/>
        <w:rPr>
          <w:rFonts w:ascii="Times New Roman" w:hAnsi="Times New Roman" w:cs="Times New Roman"/>
          <w:sz w:val="26"/>
          <w:szCs w:val="26"/>
        </w:rPr>
      </w:pPr>
      <w:r w:rsidRPr="004576DE">
        <w:rPr>
          <w:rFonts w:ascii="Times New Roman" w:hAnsi="Times New Roman" w:cs="Times New Roman"/>
          <w:sz w:val="26"/>
          <w:szCs w:val="26"/>
        </w:rPr>
        <w:t>Các mức năng lực này phù hợp với yêu cầu sử dụng trong:</w:t>
      </w:r>
    </w:p>
    <w:p w:rsidR="004576DE" w:rsidRPr="00082793" w:rsidRDefault="004576DE" w:rsidP="00576781">
      <w:pPr>
        <w:pStyle w:val="ListParagraph"/>
        <w:numPr>
          <w:ilvl w:val="0"/>
          <w:numId w:val="20"/>
        </w:numPr>
        <w:spacing w:line="480" w:lineRule="auto"/>
        <w:rPr>
          <w:rFonts w:ascii="Times New Roman" w:hAnsi="Times New Roman" w:cs="Times New Roman"/>
          <w:sz w:val="26"/>
          <w:szCs w:val="26"/>
        </w:rPr>
      </w:pPr>
      <w:r w:rsidRPr="00082793">
        <w:rPr>
          <w:rFonts w:ascii="Times New Roman" w:hAnsi="Times New Roman" w:cs="Times New Roman"/>
          <w:sz w:val="26"/>
          <w:szCs w:val="26"/>
        </w:rPr>
        <w:t>Xét tốt nghiệp trung học phổ thông;</w:t>
      </w:r>
    </w:p>
    <w:p w:rsidR="004576DE" w:rsidRPr="00082793" w:rsidRDefault="004576DE" w:rsidP="00576781">
      <w:pPr>
        <w:pStyle w:val="ListParagraph"/>
        <w:numPr>
          <w:ilvl w:val="0"/>
          <w:numId w:val="20"/>
        </w:numPr>
        <w:spacing w:line="480" w:lineRule="auto"/>
        <w:rPr>
          <w:rFonts w:ascii="Times New Roman" w:hAnsi="Times New Roman" w:cs="Times New Roman"/>
          <w:sz w:val="26"/>
          <w:szCs w:val="26"/>
        </w:rPr>
      </w:pPr>
      <w:r w:rsidRPr="00082793">
        <w:rPr>
          <w:rFonts w:ascii="Times New Roman" w:hAnsi="Times New Roman" w:cs="Times New Roman"/>
          <w:sz w:val="26"/>
          <w:szCs w:val="26"/>
        </w:rPr>
        <w:t>Tuyển sinh đại học;</w:t>
      </w:r>
    </w:p>
    <w:p w:rsidR="004576DE" w:rsidRPr="00082793" w:rsidRDefault="004576DE" w:rsidP="00576781">
      <w:pPr>
        <w:pStyle w:val="ListParagraph"/>
        <w:numPr>
          <w:ilvl w:val="0"/>
          <w:numId w:val="20"/>
        </w:numPr>
        <w:spacing w:line="480" w:lineRule="auto"/>
        <w:rPr>
          <w:rFonts w:ascii="Times New Roman" w:hAnsi="Times New Roman" w:cs="Times New Roman"/>
          <w:sz w:val="26"/>
          <w:szCs w:val="26"/>
        </w:rPr>
      </w:pPr>
      <w:r w:rsidRPr="00082793">
        <w:rPr>
          <w:rFonts w:ascii="Times New Roman" w:hAnsi="Times New Roman" w:cs="Times New Roman"/>
          <w:sz w:val="26"/>
          <w:szCs w:val="26"/>
        </w:rPr>
        <w:t>Chuẩn đầu ra ngoại ngữ của các chương trình đào tạo đại học và sau đại học;</w:t>
      </w:r>
    </w:p>
    <w:p w:rsidR="004576DE" w:rsidRPr="00082793" w:rsidRDefault="004576DE" w:rsidP="00576781">
      <w:pPr>
        <w:pStyle w:val="ListParagraph"/>
        <w:numPr>
          <w:ilvl w:val="0"/>
          <w:numId w:val="20"/>
        </w:numPr>
        <w:spacing w:line="480" w:lineRule="auto"/>
        <w:rPr>
          <w:rFonts w:ascii="Times New Roman" w:hAnsi="Times New Roman" w:cs="Times New Roman"/>
          <w:sz w:val="26"/>
          <w:szCs w:val="26"/>
        </w:rPr>
      </w:pPr>
      <w:r w:rsidRPr="00082793">
        <w:rPr>
          <w:rFonts w:ascii="Times New Roman" w:hAnsi="Times New Roman" w:cs="Times New Roman"/>
          <w:sz w:val="26"/>
          <w:szCs w:val="26"/>
        </w:rPr>
        <w:t>Các chương trình đào tạo liên kết quốc tế.</w:t>
      </w:r>
    </w:p>
    <w:p w:rsidR="004576DE" w:rsidRPr="00082793" w:rsidRDefault="004576DE" w:rsidP="00576781">
      <w:pPr>
        <w:spacing w:line="480" w:lineRule="auto"/>
        <w:rPr>
          <w:rFonts w:ascii="Times New Roman" w:hAnsi="Times New Roman" w:cs="Times New Roman"/>
          <w:b/>
          <w:bCs/>
          <w:sz w:val="26"/>
          <w:szCs w:val="26"/>
        </w:rPr>
      </w:pPr>
      <w:r w:rsidRPr="00082793">
        <w:rPr>
          <w:rFonts w:ascii="Times New Roman" w:hAnsi="Times New Roman" w:cs="Times New Roman"/>
          <w:b/>
          <w:bCs/>
          <w:sz w:val="26"/>
          <w:szCs w:val="26"/>
        </w:rPr>
        <w:t>7. Kết luận</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Trên cơ sở phân tích cấu trúc bài thi, phương pháp đánh giá và các minh chứng thực nghiệm, có thể khẳng định rằng:</w:t>
      </w:r>
    </w:p>
    <w:p w:rsidR="004576DE" w:rsidRPr="00082793" w:rsidRDefault="004576DE" w:rsidP="00576781">
      <w:pPr>
        <w:pStyle w:val="ListParagraph"/>
        <w:numPr>
          <w:ilvl w:val="0"/>
          <w:numId w:val="28"/>
        </w:numPr>
        <w:spacing w:line="480" w:lineRule="auto"/>
        <w:rPr>
          <w:rFonts w:ascii="Times New Roman" w:hAnsi="Times New Roman" w:cs="Times New Roman"/>
          <w:sz w:val="26"/>
          <w:szCs w:val="26"/>
        </w:rPr>
      </w:pPr>
      <w:r w:rsidRPr="00082793">
        <w:rPr>
          <w:rFonts w:ascii="Times New Roman" w:hAnsi="Times New Roman" w:cs="Times New Roman"/>
          <w:sz w:val="26"/>
          <w:szCs w:val="26"/>
        </w:rPr>
        <w:t>Bài thi NOCN ESOL International có cấu trúc và phương pháp đánh giá tương đồng với các bài thi quốc tế đang được công nhận và sử dụng tại Việt Nam;</w:t>
      </w:r>
    </w:p>
    <w:p w:rsidR="004576DE" w:rsidRPr="00082793" w:rsidRDefault="004576DE" w:rsidP="00576781">
      <w:pPr>
        <w:pStyle w:val="ListParagraph"/>
        <w:numPr>
          <w:ilvl w:val="0"/>
          <w:numId w:val="28"/>
        </w:numPr>
        <w:spacing w:line="480" w:lineRule="auto"/>
        <w:rPr>
          <w:rFonts w:ascii="Times New Roman" w:hAnsi="Times New Roman" w:cs="Times New Roman"/>
          <w:sz w:val="26"/>
          <w:szCs w:val="26"/>
        </w:rPr>
      </w:pPr>
      <w:r w:rsidRPr="00082793">
        <w:rPr>
          <w:rFonts w:ascii="Times New Roman" w:hAnsi="Times New Roman" w:cs="Times New Roman"/>
          <w:sz w:val="26"/>
          <w:szCs w:val="26"/>
        </w:rPr>
        <w:t>Hệ thống đánh giá đảm bảo tính khách quan, độ chính xác và tính công bằng theo các</w:t>
      </w:r>
      <w:r w:rsidR="00082793" w:rsidRPr="00082793">
        <w:rPr>
          <w:rFonts w:ascii="Times New Roman" w:hAnsi="Times New Roman" w:cs="Times New Roman"/>
          <w:sz w:val="26"/>
          <w:szCs w:val="26"/>
        </w:rPr>
        <w:t xml:space="preserve"> </w:t>
      </w:r>
      <w:r w:rsidRPr="00082793">
        <w:rPr>
          <w:rFonts w:ascii="Times New Roman" w:hAnsi="Times New Roman" w:cs="Times New Roman"/>
          <w:sz w:val="26"/>
          <w:szCs w:val="26"/>
        </w:rPr>
        <w:t>chuẩn mực quốc tế;</w:t>
      </w:r>
    </w:p>
    <w:p w:rsidR="004576DE" w:rsidRPr="00082793" w:rsidRDefault="004576DE" w:rsidP="00576781">
      <w:pPr>
        <w:pStyle w:val="ListParagraph"/>
        <w:numPr>
          <w:ilvl w:val="0"/>
          <w:numId w:val="28"/>
        </w:numPr>
        <w:spacing w:line="480" w:lineRule="auto"/>
        <w:rPr>
          <w:rFonts w:ascii="Times New Roman" w:hAnsi="Times New Roman" w:cs="Times New Roman"/>
          <w:sz w:val="26"/>
          <w:szCs w:val="26"/>
        </w:rPr>
      </w:pPr>
      <w:r w:rsidRPr="00082793">
        <w:rPr>
          <w:rFonts w:ascii="Times New Roman" w:hAnsi="Times New Roman" w:cs="Times New Roman"/>
          <w:sz w:val="26"/>
          <w:szCs w:val="26"/>
        </w:rPr>
        <w:lastRenderedPageBreak/>
        <w:t>Kết quả nghiên cứu đối sánh cung cấp bằng chứng rõ ràng về tính tương đương giữa các cấp độ năng lực;</w:t>
      </w:r>
    </w:p>
    <w:p w:rsidR="004576DE" w:rsidRPr="004576DE"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Chứng chỉ NOCN ESOL International có đầy đủ cơ sở khoa học và thực tiễn để được sử dụng trong xét tốt nghiệp, tuyển sinh và đào tạo các trình độ giáo dục tại Việt Nam.</w:t>
      </w:r>
    </w:p>
    <w:p w:rsidR="00576781" w:rsidRDefault="004576DE" w:rsidP="00576781">
      <w:pPr>
        <w:spacing w:line="480" w:lineRule="auto"/>
        <w:ind w:firstLine="567"/>
        <w:rPr>
          <w:rFonts w:ascii="Times New Roman" w:hAnsi="Times New Roman" w:cs="Times New Roman"/>
          <w:sz w:val="26"/>
          <w:szCs w:val="26"/>
        </w:rPr>
      </w:pPr>
      <w:r w:rsidRPr="004576DE">
        <w:rPr>
          <w:rFonts w:ascii="Times New Roman" w:hAnsi="Times New Roman" w:cs="Times New Roman"/>
          <w:sz w:val="26"/>
          <w:szCs w:val="26"/>
        </w:rPr>
        <w:t>Việc sử dụng chứng chỉ NOCN góp phần thúc đẩy quá trình chuẩn hóa và quốc tế hóa trong đánh giá năng lực ngoại ngữ, phù hợp với định hướng phát triển của hệ thống giáo dục Việt Nam trong giai đoạn hiện nay.</w:t>
      </w:r>
    </w:p>
    <w:p w:rsidR="00576781" w:rsidRDefault="00576781" w:rsidP="00576781">
      <w:pPr>
        <w:spacing w:line="480" w:lineRule="auto"/>
        <w:rPr>
          <w:rFonts w:ascii="Times New Roman" w:hAnsi="Times New Roman" w:cs="Times New Roman"/>
          <w:sz w:val="26"/>
          <w:szCs w:val="26"/>
        </w:rPr>
      </w:pPr>
      <w:r>
        <w:rPr>
          <w:rFonts w:ascii="Times New Roman" w:hAnsi="Times New Roman" w:cs="Times New Roman"/>
          <w:sz w:val="26"/>
          <w:szCs w:val="26"/>
        </w:rPr>
        <w:br w:type="page"/>
      </w:r>
    </w:p>
    <w:p w:rsidR="00935B90" w:rsidRPr="00576781" w:rsidRDefault="00576781" w:rsidP="00576781">
      <w:pPr>
        <w:spacing w:line="480" w:lineRule="auto"/>
        <w:rPr>
          <w:rFonts w:ascii="Times New Roman" w:hAnsi="Times New Roman" w:cs="Times New Roman"/>
          <w:b/>
          <w:bCs/>
          <w:sz w:val="26"/>
          <w:szCs w:val="26"/>
        </w:rPr>
      </w:pPr>
      <w:r w:rsidRPr="00576781">
        <w:rPr>
          <w:rFonts w:ascii="Times New Roman" w:hAnsi="Times New Roman" w:cs="Times New Roman"/>
          <w:b/>
          <w:bCs/>
          <w:sz w:val="26"/>
          <w:szCs w:val="26"/>
        </w:rPr>
        <w:lastRenderedPageBreak/>
        <w:t>Tài liệu tham khảo</w:t>
      </w:r>
    </w:p>
    <w:p w:rsidR="00576781" w:rsidRDefault="00576781" w:rsidP="00576781">
      <w:pPr>
        <w:pStyle w:val="NormalWeb"/>
        <w:spacing w:before="0" w:beforeAutospacing="0" w:after="0" w:afterAutospacing="0" w:line="480" w:lineRule="auto"/>
        <w:ind w:firstLine="851"/>
      </w:pPr>
      <w:r>
        <w:t xml:space="preserve">Alderson, J. C., Clapham, C., &amp; Wall, D. (1995). </w:t>
      </w:r>
      <w:r>
        <w:rPr>
          <w:rStyle w:val="Emphasis"/>
          <w:rFonts w:eastAsiaTheme="majorEastAsia"/>
        </w:rPr>
        <w:t>Language test construction and evaluation</w:t>
      </w:r>
      <w:r>
        <w:t>. Cambridge University Press.</w:t>
      </w:r>
    </w:p>
    <w:p w:rsidR="00576781" w:rsidRDefault="00576781" w:rsidP="00576781">
      <w:pPr>
        <w:pStyle w:val="NormalWeb"/>
        <w:spacing w:before="0" w:beforeAutospacing="0" w:after="0" w:afterAutospacing="0" w:line="480" w:lineRule="auto"/>
        <w:ind w:firstLine="851"/>
      </w:pPr>
      <w:r>
        <w:t xml:space="preserve">Association of Language Testers in Europe. (2011). </w:t>
      </w:r>
      <w:r>
        <w:rPr>
          <w:rStyle w:val="Emphasis"/>
          <w:rFonts w:eastAsiaTheme="majorEastAsia"/>
        </w:rPr>
        <w:t>Manual for language test development and examining</w:t>
      </w:r>
      <w:r>
        <w:t>. ALTE.</w:t>
      </w:r>
    </w:p>
    <w:p w:rsidR="00576781" w:rsidRDefault="00576781" w:rsidP="00576781">
      <w:pPr>
        <w:pStyle w:val="NormalWeb"/>
        <w:spacing w:before="0" w:beforeAutospacing="0" w:after="0" w:afterAutospacing="0" w:line="480" w:lineRule="auto"/>
        <w:ind w:firstLine="851"/>
      </w:pPr>
      <w:r>
        <w:t xml:space="preserve">Bachman, L. F. (1990). </w:t>
      </w:r>
      <w:r>
        <w:rPr>
          <w:rStyle w:val="Emphasis"/>
          <w:rFonts w:eastAsiaTheme="majorEastAsia"/>
        </w:rPr>
        <w:t>Fundamental considerations in language testing</w:t>
      </w:r>
      <w:r>
        <w:t>. Oxford University Press.</w:t>
      </w:r>
    </w:p>
    <w:p w:rsidR="00576781" w:rsidRDefault="00576781" w:rsidP="00576781">
      <w:pPr>
        <w:pStyle w:val="NormalWeb"/>
        <w:spacing w:before="0" w:beforeAutospacing="0" w:after="0" w:afterAutospacing="0" w:line="480" w:lineRule="auto"/>
        <w:ind w:firstLine="851"/>
      </w:pPr>
      <w:r>
        <w:t xml:space="preserve">Bachman, L. F., &amp; Palmer, A. S. (1996). </w:t>
      </w:r>
      <w:r>
        <w:rPr>
          <w:rStyle w:val="Emphasis"/>
          <w:rFonts w:eastAsiaTheme="majorEastAsia"/>
        </w:rPr>
        <w:t>Language testing in practice</w:t>
      </w:r>
      <w:r>
        <w:t>. Oxford University Press.</w:t>
      </w:r>
    </w:p>
    <w:p w:rsidR="00576781" w:rsidRDefault="00576781" w:rsidP="00576781">
      <w:pPr>
        <w:pStyle w:val="NormalWeb"/>
        <w:spacing w:before="0" w:beforeAutospacing="0" w:after="0" w:afterAutospacing="0" w:line="480" w:lineRule="auto"/>
        <w:ind w:firstLine="851"/>
      </w:pPr>
      <w:r>
        <w:t xml:space="preserve">Brown, H. D., &amp; Abeywickrama, P. (2010). </w:t>
      </w:r>
      <w:r>
        <w:rPr>
          <w:rStyle w:val="Emphasis"/>
          <w:rFonts w:eastAsiaTheme="majorEastAsia"/>
        </w:rPr>
        <w:t>Language assessment: Principles and classroom practices</w:t>
      </w:r>
      <w:r>
        <w:t xml:space="preserve"> (2nd ed.). Pearson.</w:t>
      </w:r>
    </w:p>
    <w:p w:rsidR="00576781" w:rsidRDefault="00576781" w:rsidP="00576781">
      <w:pPr>
        <w:pStyle w:val="NormalWeb"/>
        <w:spacing w:before="0" w:beforeAutospacing="0" w:after="0" w:afterAutospacing="0" w:line="480" w:lineRule="auto"/>
        <w:ind w:firstLine="851"/>
      </w:pPr>
      <w:r>
        <w:t xml:space="preserve">Council of Europe. (2001). </w:t>
      </w:r>
      <w:r>
        <w:rPr>
          <w:rStyle w:val="Emphasis"/>
          <w:rFonts w:eastAsiaTheme="majorEastAsia"/>
        </w:rPr>
        <w:t>Common European framework of reference for languages: Learning, teaching, assessment</w:t>
      </w:r>
      <w:r>
        <w:t>. Cambridge University Press.</w:t>
      </w:r>
    </w:p>
    <w:p w:rsidR="00576781" w:rsidRDefault="00576781" w:rsidP="00576781">
      <w:pPr>
        <w:pStyle w:val="NormalWeb"/>
        <w:spacing w:before="0" w:beforeAutospacing="0" w:after="0" w:afterAutospacing="0" w:line="480" w:lineRule="auto"/>
        <w:ind w:firstLine="851"/>
      </w:pPr>
      <w:r>
        <w:t xml:space="preserve">Council of Europe. (2020). </w:t>
      </w:r>
      <w:r>
        <w:rPr>
          <w:rStyle w:val="Emphasis"/>
          <w:rFonts w:eastAsiaTheme="majorEastAsia"/>
        </w:rPr>
        <w:t>Common European framework of reference for languages: Learning, teaching, assessment: Companion volume</w:t>
      </w:r>
      <w:r>
        <w:t>.</w:t>
      </w:r>
    </w:p>
    <w:p w:rsidR="00576781" w:rsidRDefault="00576781" w:rsidP="00576781">
      <w:pPr>
        <w:pStyle w:val="NormalWeb"/>
        <w:spacing w:before="0" w:beforeAutospacing="0" w:after="0" w:afterAutospacing="0" w:line="480" w:lineRule="auto"/>
        <w:ind w:firstLine="851"/>
      </w:pPr>
      <w:r>
        <w:t xml:space="preserve">Kane, M. (2006). Validation. In R. L. Brennan (Ed.), </w:t>
      </w:r>
      <w:r>
        <w:rPr>
          <w:rStyle w:val="Emphasis"/>
          <w:rFonts w:eastAsiaTheme="majorEastAsia"/>
        </w:rPr>
        <w:t>Educational measurement</w:t>
      </w:r>
      <w:r>
        <w:t xml:space="preserve"> (4th ed., pp. 17–64). Praeger.</w:t>
      </w:r>
    </w:p>
    <w:p w:rsidR="00576781" w:rsidRDefault="00576781" w:rsidP="00576781">
      <w:pPr>
        <w:pStyle w:val="NormalWeb"/>
        <w:spacing w:before="0" w:beforeAutospacing="0" w:after="0" w:afterAutospacing="0" w:line="480" w:lineRule="auto"/>
        <w:ind w:firstLine="851"/>
      </w:pPr>
      <w:r>
        <w:t xml:space="preserve">Messick, S. (1989). Validity. In R. L. Linn (Ed.), </w:t>
      </w:r>
      <w:r>
        <w:rPr>
          <w:rStyle w:val="Emphasis"/>
          <w:rFonts w:eastAsiaTheme="majorEastAsia"/>
        </w:rPr>
        <w:t>Educational measurement</w:t>
      </w:r>
      <w:r>
        <w:t xml:space="preserve"> (3rd ed., pp. 13–103). American Council on Education.</w:t>
      </w:r>
    </w:p>
    <w:p w:rsidR="00576781" w:rsidRDefault="00576781" w:rsidP="00576781">
      <w:pPr>
        <w:pStyle w:val="NormalWeb"/>
        <w:spacing w:before="0" w:beforeAutospacing="0" w:after="0" w:afterAutospacing="0" w:line="480" w:lineRule="auto"/>
        <w:ind w:firstLine="851"/>
      </w:pPr>
      <w:r>
        <w:t xml:space="preserve">Ministry of Education and Training. (2015). </w:t>
      </w:r>
      <w:r>
        <w:rPr>
          <w:rStyle w:val="Emphasis"/>
          <w:rFonts w:eastAsiaTheme="majorEastAsia"/>
        </w:rPr>
        <w:t>Vietnamese six-level foreign language proficiency framework</w:t>
      </w:r>
      <w:r>
        <w:t>. Vietnam MOET.</w:t>
      </w:r>
    </w:p>
    <w:p w:rsidR="00576781" w:rsidRDefault="00576781" w:rsidP="00576781">
      <w:pPr>
        <w:pStyle w:val="NormalWeb"/>
        <w:spacing w:before="0" w:beforeAutospacing="0" w:after="0" w:afterAutospacing="0" w:line="480" w:lineRule="auto"/>
        <w:ind w:firstLine="851"/>
      </w:pPr>
      <w:r>
        <w:t xml:space="preserve">NOCN Group. (2023). </w:t>
      </w:r>
      <w:r>
        <w:rPr>
          <w:rStyle w:val="Emphasis"/>
          <w:rFonts w:eastAsiaTheme="majorEastAsia"/>
        </w:rPr>
        <w:t>NOCN ESOL international qualification specifications</w:t>
      </w:r>
      <w:r>
        <w:t>.</w:t>
      </w:r>
    </w:p>
    <w:p w:rsidR="00576781" w:rsidRDefault="00576781" w:rsidP="00576781">
      <w:pPr>
        <w:pStyle w:val="NormalWeb"/>
        <w:spacing w:before="0" w:beforeAutospacing="0" w:after="0" w:afterAutospacing="0" w:line="480" w:lineRule="auto"/>
        <w:ind w:firstLine="851"/>
      </w:pPr>
      <w:r>
        <w:lastRenderedPageBreak/>
        <w:t xml:space="preserve">Office of Qualifications and Examinations Regulation. (2015). </w:t>
      </w:r>
      <w:r>
        <w:rPr>
          <w:rStyle w:val="Emphasis"/>
          <w:rFonts w:eastAsiaTheme="majorEastAsia"/>
        </w:rPr>
        <w:t>General conditions of recognition</w:t>
      </w:r>
      <w:r>
        <w:t>. Ofqual.</w:t>
      </w:r>
    </w:p>
    <w:p w:rsidR="00576781" w:rsidRDefault="00576781" w:rsidP="00576781">
      <w:pPr>
        <w:pStyle w:val="NormalWeb"/>
        <w:spacing w:before="0" w:beforeAutospacing="0" w:after="0" w:afterAutospacing="0" w:line="480" w:lineRule="auto"/>
        <w:ind w:firstLine="851"/>
      </w:pPr>
      <w:r>
        <w:t xml:space="preserve">Weir, C. J. (2005). </w:t>
      </w:r>
      <w:r>
        <w:rPr>
          <w:rStyle w:val="Emphasis"/>
          <w:rFonts w:eastAsiaTheme="majorEastAsia"/>
        </w:rPr>
        <w:t>Language testing and validation: An evidence-based approach</w:t>
      </w:r>
      <w:r>
        <w:t>. Palgrave Macmillan.</w:t>
      </w:r>
    </w:p>
    <w:p w:rsidR="00576781" w:rsidRDefault="00576781" w:rsidP="00576781">
      <w:pPr>
        <w:spacing w:line="480" w:lineRule="auto"/>
        <w:ind w:firstLine="851"/>
        <w:rPr>
          <w:rFonts w:ascii="Times New Roman" w:hAnsi="Times New Roman" w:cs="Times New Roman"/>
          <w:sz w:val="26"/>
          <w:szCs w:val="26"/>
        </w:rPr>
      </w:pPr>
    </w:p>
    <w:p w:rsidR="00935B90" w:rsidRDefault="00935B90" w:rsidP="00576781">
      <w:pPr>
        <w:spacing w:line="480" w:lineRule="auto"/>
        <w:rPr>
          <w:rFonts w:ascii="Times New Roman" w:hAnsi="Times New Roman" w:cs="Times New Roman"/>
          <w:sz w:val="26"/>
          <w:szCs w:val="26"/>
        </w:rPr>
      </w:pPr>
      <w:r>
        <w:rPr>
          <w:rFonts w:ascii="Times New Roman" w:hAnsi="Times New Roman" w:cs="Times New Roman"/>
          <w:sz w:val="26"/>
          <w:szCs w:val="26"/>
        </w:rPr>
        <w:br w:type="page"/>
      </w:r>
    </w:p>
    <w:p w:rsidR="0056764D" w:rsidRPr="00A82111" w:rsidRDefault="0056764D" w:rsidP="00576781">
      <w:pPr>
        <w:spacing w:line="480" w:lineRule="auto"/>
        <w:ind w:firstLine="567"/>
        <w:jc w:val="center"/>
        <w:rPr>
          <w:rFonts w:ascii="Times New Roman" w:hAnsi="Times New Roman" w:cs="Times New Roman"/>
          <w:b/>
          <w:bCs/>
          <w:sz w:val="26"/>
          <w:szCs w:val="26"/>
        </w:rPr>
      </w:pPr>
      <w:r w:rsidRPr="00A82111">
        <w:rPr>
          <w:rFonts w:ascii="Times New Roman" w:hAnsi="Times New Roman" w:cs="Times New Roman"/>
          <w:b/>
          <w:bCs/>
          <w:sz w:val="26"/>
          <w:szCs w:val="26"/>
        </w:rPr>
        <w:lastRenderedPageBreak/>
        <w:t xml:space="preserve">NOCN qualifications and their use in upper secondary graduation, </w:t>
      </w:r>
    </w:p>
    <w:p w:rsidR="00361B59" w:rsidRPr="00A82111" w:rsidRDefault="0056764D" w:rsidP="00576781">
      <w:pPr>
        <w:spacing w:line="480" w:lineRule="auto"/>
        <w:ind w:firstLine="567"/>
        <w:jc w:val="center"/>
        <w:rPr>
          <w:rFonts w:ascii="Times New Roman" w:hAnsi="Times New Roman" w:cs="Times New Roman"/>
          <w:b/>
          <w:bCs/>
          <w:sz w:val="26"/>
          <w:szCs w:val="26"/>
        </w:rPr>
      </w:pPr>
      <w:r w:rsidRPr="00A82111">
        <w:rPr>
          <w:rFonts w:ascii="Times New Roman" w:hAnsi="Times New Roman" w:cs="Times New Roman"/>
          <w:b/>
          <w:bCs/>
          <w:sz w:val="26"/>
          <w:szCs w:val="26"/>
        </w:rPr>
        <w:t>and higher education admission and training in Vietnam</w:t>
      </w:r>
    </w:p>
    <w:p w:rsidR="0056764D" w:rsidRDefault="0056764D" w:rsidP="00576781">
      <w:pPr>
        <w:spacing w:line="480" w:lineRule="auto"/>
        <w:ind w:firstLine="567"/>
        <w:jc w:val="center"/>
        <w:rPr>
          <w:rFonts w:ascii="Times New Roman" w:hAnsi="Times New Roman" w:cs="Times New Roman"/>
          <w:sz w:val="26"/>
          <w:szCs w:val="26"/>
        </w:rPr>
      </w:pPr>
    </w:p>
    <w:p w:rsidR="00A82111" w:rsidRPr="00A82111" w:rsidRDefault="00A82111" w:rsidP="00576781">
      <w:pPr>
        <w:spacing w:line="480" w:lineRule="auto"/>
        <w:jc w:val="both"/>
        <w:rPr>
          <w:rFonts w:ascii="Times New Roman" w:hAnsi="Times New Roman" w:cs="Times New Roman"/>
          <w:b/>
          <w:bCs/>
          <w:sz w:val="26"/>
          <w:szCs w:val="26"/>
        </w:rPr>
      </w:pPr>
      <w:r w:rsidRPr="00A82111">
        <w:rPr>
          <w:rFonts w:ascii="Times New Roman" w:hAnsi="Times New Roman" w:cs="Times New Roman"/>
          <w:b/>
          <w:bCs/>
          <w:sz w:val="26"/>
          <w:szCs w:val="26"/>
        </w:rPr>
        <w:t>Abstract</w:t>
      </w:r>
    </w:p>
    <w:p w:rsidR="00A82111" w:rsidRPr="00A82111" w:rsidRDefault="00A82111" w:rsidP="00576781">
      <w:pPr>
        <w:spacing w:line="480" w:lineRule="auto"/>
        <w:ind w:firstLine="567"/>
        <w:jc w:val="both"/>
        <w:rPr>
          <w:rFonts w:ascii="Times New Roman" w:hAnsi="Times New Roman" w:cs="Times New Roman"/>
          <w:sz w:val="26"/>
          <w:szCs w:val="26"/>
        </w:rPr>
      </w:pPr>
      <w:r w:rsidRPr="00A82111">
        <w:rPr>
          <w:rFonts w:ascii="Times New Roman" w:hAnsi="Times New Roman" w:cs="Times New Roman"/>
          <w:sz w:val="26"/>
          <w:szCs w:val="26"/>
        </w:rPr>
        <w:t>In the present report, the NOCN ESOL International assessment is evaluated with regards to its relevance to the Vietnamese education system. The assessment is conducted with the help of the CEFR framework. The structure of the assessment, methodology of the assessment, and the relevant features such as objectivity, reliability, and fairness of the assessment have been analyzed.</w:t>
      </w:r>
    </w:p>
    <w:p w:rsidR="00A82111" w:rsidRPr="00A82111" w:rsidRDefault="00A82111" w:rsidP="00576781">
      <w:pPr>
        <w:spacing w:line="480" w:lineRule="auto"/>
        <w:ind w:firstLine="567"/>
        <w:jc w:val="both"/>
        <w:rPr>
          <w:rFonts w:ascii="Times New Roman" w:hAnsi="Times New Roman" w:cs="Times New Roman"/>
          <w:sz w:val="26"/>
          <w:szCs w:val="26"/>
        </w:rPr>
      </w:pPr>
      <w:r w:rsidRPr="00A82111">
        <w:rPr>
          <w:rFonts w:ascii="Times New Roman" w:hAnsi="Times New Roman" w:cs="Times New Roman"/>
          <w:sz w:val="26"/>
          <w:szCs w:val="26"/>
        </w:rPr>
        <w:t>A comparative analysis with other popular English language proficiency assessments such as IELTS, Aptis ESOL, VSTEP, etc., shows a high degree of similarity with regards to the structure as well as the methodology of the assessment. Empirical research conducted as part of the benchmarking study with 200 candidates shows a high correlation of 96.5% with other popular assessments with regards to the CEFR B1 to C1 levels.</w:t>
      </w:r>
    </w:p>
    <w:p w:rsidR="00A82111" w:rsidRPr="00A82111" w:rsidRDefault="00A82111" w:rsidP="00576781">
      <w:pPr>
        <w:spacing w:line="480" w:lineRule="auto"/>
        <w:ind w:firstLine="567"/>
        <w:jc w:val="both"/>
        <w:rPr>
          <w:rFonts w:ascii="Times New Roman" w:hAnsi="Times New Roman" w:cs="Times New Roman"/>
          <w:sz w:val="26"/>
          <w:szCs w:val="26"/>
        </w:rPr>
      </w:pPr>
      <w:r w:rsidRPr="00A82111">
        <w:rPr>
          <w:rFonts w:ascii="Times New Roman" w:hAnsi="Times New Roman" w:cs="Times New Roman"/>
          <w:sz w:val="26"/>
          <w:szCs w:val="26"/>
        </w:rPr>
        <w:t>Thus, the results of the analysis confirm the validity and reliability of the NOCN ESOL International assessment as a measure of English language proficiency with regards to the Vietnamese education system.</w:t>
      </w:r>
    </w:p>
    <w:p w:rsidR="00A82111" w:rsidRDefault="00A82111" w:rsidP="00576781">
      <w:pPr>
        <w:spacing w:line="480" w:lineRule="auto"/>
        <w:jc w:val="both"/>
        <w:rPr>
          <w:rFonts w:ascii="Times New Roman" w:hAnsi="Times New Roman" w:cs="Times New Roman"/>
          <w:b/>
          <w:bCs/>
          <w:sz w:val="26"/>
          <w:szCs w:val="26"/>
        </w:rPr>
      </w:pPr>
    </w:p>
    <w:p w:rsidR="0056764D" w:rsidRPr="007E31BC" w:rsidRDefault="007E31BC" w:rsidP="00576781">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Pr="007E31BC">
        <w:rPr>
          <w:rFonts w:ascii="Times New Roman" w:hAnsi="Times New Roman" w:cs="Times New Roman"/>
          <w:b/>
          <w:bCs/>
          <w:sz w:val="26"/>
          <w:szCs w:val="26"/>
        </w:rPr>
        <w:t>Context and purposes</w:t>
      </w:r>
    </w:p>
    <w:p w:rsidR="007E31BC" w:rsidRPr="007E31BC" w:rsidRDefault="007E31BC" w:rsidP="00576781">
      <w:pPr>
        <w:spacing w:line="480" w:lineRule="auto"/>
        <w:ind w:firstLine="567"/>
        <w:jc w:val="both"/>
        <w:rPr>
          <w:rFonts w:ascii="Times New Roman" w:hAnsi="Times New Roman" w:cs="Times New Roman"/>
          <w:sz w:val="26"/>
          <w:szCs w:val="26"/>
        </w:rPr>
      </w:pPr>
      <w:r w:rsidRPr="007E31BC">
        <w:rPr>
          <w:rFonts w:ascii="Times New Roman" w:hAnsi="Times New Roman" w:cs="Times New Roman"/>
          <w:sz w:val="26"/>
          <w:szCs w:val="26"/>
        </w:rPr>
        <w:t>In view of this, the implementation of language qualifications based on international standards has become vital for enhancing transparency and comparability, as well as facilitating mutual recognition of assessment systems.</w:t>
      </w:r>
    </w:p>
    <w:p w:rsidR="007E31BC" w:rsidRPr="007E31BC" w:rsidRDefault="007E31BC" w:rsidP="00576781">
      <w:pPr>
        <w:spacing w:line="480" w:lineRule="auto"/>
        <w:ind w:firstLine="567"/>
        <w:jc w:val="both"/>
        <w:rPr>
          <w:rFonts w:ascii="Times New Roman" w:hAnsi="Times New Roman" w:cs="Times New Roman"/>
          <w:sz w:val="26"/>
          <w:szCs w:val="26"/>
        </w:rPr>
      </w:pPr>
      <w:r w:rsidRPr="007E31BC">
        <w:rPr>
          <w:rFonts w:ascii="Times New Roman" w:hAnsi="Times New Roman" w:cs="Times New Roman"/>
          <w:sz w:val="26"/>
          <w:szCs w:val="26"/>
        </w:rPr>
        <w:lastRenderedPageBreak/>
        <w:t>This report provides a systematic analysis of the NOCN ESOL International examination, including its testing structure, assessment strategy, and key assessment qualities, including objectivity, reliability, and fairness. It also provides a comparative analysis of the internationally recognized English language tests currently used in Vietnam for academic purposes.</w:t>
      </w:r>
    </w:p>
    <w:p w:rsidR="007E31BC" w:rsidRDefault="007E31BC" w:rsidP="00576781">
      <w:pPr>
        <w:spacing w:line="480" w:lineRule="auto"/>
        <w:ind w:firstLine="567"/>
        <w:jc w:val="both"/>
        <w:rPr>
          <w:rFonts w:ascii="Times New Roman" w:hAnsi="Times New Roman" w:cs="Times New Roman"/>
          <w:sz w:val="26"/>
          <w:szCs w:val="26"/>
        </w:rPr>
      </w:pPr>
      <w:r w:rsidRPr="007E31BC">
        <w:rPr>
          <w:rFonts w:ascii="Times New Roman" w:hAnsi="Times New Roman" w:cs="Times New Roman"/>
          <w:sz w:val="26"/>
          <w:szCs w:val="26"/>
        </w:rPr>
        <w:t>The report provides empirical data to demonstrate the comparability of NOCN qualifications to existing standards, thereby supporting their use for upper secondary graduation, university entrance, and higher and further education courses, including postgraduate programs.</w:t>
      </w:r>
    </w:p>
    <w:p w:rsidR="007E31BC" w:rsidRDefault="007E31BC" w:rsidP="00576781">
      <w:pPr>
        <w:spacing w:line="480" w:lineRule="auto"/>
        <w:ind w:firstLine="567"/>
        <w:jc w:val="both"/>
        <w:rPr>
          <w:rFonts w:ascii="Times New Roman" w:hAnsi="Times New Roman" w:cs="Times New Roman"/>
          <w:sz w:val="26"/>
          <w:szCs w:val="26"/>
        </w:rPr>
      </w:pPr>
    </w:p>
    <w:p w:rsidR="007E31BC" w:rsidRDefault="007E31BC" w:rsidP="00576781">
      <w:pPr>
        <w:spacing w:line="480" w:lineRule="auto"/>
        <w:jc w:val="both"/>
        <w:rPr>
          <w:rFonts w:ascii="Times New Roman" w:hAnsi="Times New Roman" w:cs="Times New Roman"/>
          <w:b/>
          <w:bCs/>
          <w:sz w:val="26"/>
          <w:szCs w:val="26"/>
        </w:rPr>
      </w:pPr>
      <w:r w:rsidRPr="007E31BC">
        <w:rPr>
          <w:rFonts w:ascii="Times New Roman" w:hAnsi="Times New Roman" w:cs="Times New Roman"/>
          <w:b/>
          <w:bCs/>
          <w:sz w:val="26"/>
          <w:szCs w:val="26"/>
        </w:rPr>
        <w:t>2. Theoretical framework and reference standards</w:t>
      </w:r>
    </w:p>
    <w:p w:rsidR="007E31BC" w:rsidRPr="007E31BC" w:rsidRDefault="007E31BC" w:rsidP="00576781">
      <w:pPr>
        <w:spacing w:line="480" w:lineRule="auto"/>
        <w:ind w:firstLine="567"/>
        <w:jc w:val="both"/>
        <w:rPr>
          <w:rFonts w:ascii="Times New Roman" w:hAnsi="Times New Roman" w:cs="Times New Roman"/>
          <w:sz w:val="26"/>
          <w:szCs w:val="26"/>
        </w:rPr>
      </w:pPr>
      <w:r w:rsidRPr="007E31BC">
        <w:rPr>
          <w:rFonts w:ascii="Times New Roman" w:hAnsi="Times New Roman" w:cs="Times New Roman"/>
          <w:sz w:val="26"/>
          <w:szCs w:val="26"/>
        </w:rPr>
        <w:t>The NOCN ESOL International qualifications have been designed in line with the framework provided by the Council of Europe, which is a widely accepted framework of describing and evaluating language proficiency on a global scale.</w:t>
      </w:r>
    </w:p>
    <w:p w:rsidR="007E31BC" w:rsidRPr="007E31BC" w:rsidRDefault="007E31BC" w:rsidP="00576781">
      <w:pPr>
        <w:spacing w:line="480" w:lineRule="auto"/>
        <w:ind w:firstLine="567"/>
        <w:jc w:val="both"/>
        <w:rPr>
          <w:rFonts w:ascii="Times New Roman" w:hAnsi="Times New Roman" w:cs="Times New Roman"/>
          <w:sz w:val="26"/>
          <w:szCs w:val="26"/>
        </w:rPr>
      </w:pPr>
      <w:r w:rsidRPr="007E31BC">
        <w:rPr>
          <w:rFonts w:ascii="Times New Roman" w:hAnsi="Times New Roman" w:cs="Times New Roman"/>
          <w:sz w:val="26"/>
          <w:szCs w:val="26"/>
        </w:rPr>
        <w:t>The CEFR provides a detailed framework of the descriptors of proficiency levels ranging from A1 to C2 and highlights the assessment of the entire gamut of communicative activities such as:</w:t>
      </w:r>
    </w:p>
    <w:p w:rsidR="007E31BC" w:rsidRPr="007E31BC" w:rsidRDefault="007E31BC" w:rsidP="00576781">
      <w:pPr>
        <w:pStyle w:val="ListParagraph"/>
        <w:numPr>
          <w:ilvl w:val="0"/>
          <w:numId w:val="29"/>
        </w:numPr>
        <w:spacing w:line="480" w:lineRule="auto"/>
        <w:jc w:val="both"/>
        <w:rPr>
          <w:rFonts w:ascii="Times New Roman" w:hAnsi="Times New Roman" w:cs="Times New Roman"/>
          <w:sz w:val="26"/>
          <w:szCs w:val="26"/>
        </w:rPr>
      </w:pPr>
      <w:r w:rsidRPr="007E31BC">
        <w:rPr>
          <w:rFonts w:ascii="Times New Roman" w:hAnsi="Times New Roman" w:cs="Times New Roman"/>
          <w:sz w:val="26"/>
          <w:szCs w:val="26"/>
        </w:rPr>
        <w:t>Reception - listening and reading;</w:t>
      </w:r>
    </w:p>
    <w:p w:rsidR="007E31BC" w:rsidRPr="007E31BC" w:rsidRDefault="007E31BC" w:rsidP="00576781">
      <w:pPr>
        <w:pStyle w:val="ListParagraph"/>
        <w:numPr>
          <w:ilvl w:val="0"/>
          <w:numId w:val="29"/>
        </w:numPr>
        <w:spacing w:line="480" w:lineRule="auto"/>
        <w:jc w:val="both"/>
        <w:rPr>
          <w:rFonts w:ascii="Times New Roman" w:hAnsi="Times New Roman" w:cs="Times New Roman"/>
          <w:sz w:val="26"/>
          <w:szCs w:val="26"/>
        </w:rPr>
      </w:pPr>
      <w:r w:rsidRPr="007E31BC">
        <w:rPr>
          <w:rFonts w:ascii="Times New Roman" w:hAnsi="Times New Roman" w:cs="Times New Roman"/>
          <w:sz w:val="26"/>
          <w:szCs w:val="26"/>
        </w:rPr>
        <w:t>Production - speaking and writing;</w:t>
      </w:r>
    </w:p>
    <w:p w:rsidR="007E31BC" w:rsidRPr="007E31BC" w:rsidRDefault="007E31BC" w:rsidP="00576781">
      <w:pPr>
        <w:pStyle w:val="ListParagraph"/>
        <w:numPr>
          <w:ilvl w:val="0"/>
          <w:numId w:val="29"/>
        </w:numPr>
        <w:spacing w:line="480" w:lineRule="auto"/>
        <w:jc w:val="both"/>
        <w:rPr>
          <w:rFonts w:ascii="Times New Roman" w:hAnsi="Times New Roman" w:cs="Times New Roman"/>
          <w:sz w:val="26"/>
          <w:szCs w:val="26"/>
        </w:rPr>
      </w:pPr>
      <w:r w:rsidRPr="007E31BC">
        <w:rPr>
          <w:rFonts w:ascii="Times New Roman" w:hAnsi="Times New Roman" w:cs="Times New Roman"/>
          <w:sz w:val="26"/>
          <w:szCs w:val="26"/>
        </w:rPr>
        <w:t>Interaction - speaking in context.</w:t>
      </w:r>
    </w:p>
    <w:p w:rsidR="007E31BC" w:rsidRDefault="007E31BC" w:rsidP="00576781">
      <w:pPr>
        <w:spacing w:line="480" w:lineRule="auto"/>
        <w:ind w:firstLine="567"/>
        <w:jc w:val="both"/>
        <w:rPr>
          <w:rFonts w:ascii="Times New Roman" w:hAnsi="Times New Roman" w:cs="Times New Roman"/>
          <w:sz w:val="26"/>
          <w:szCs w:val="26"/>
        </w:rPr>
      </w:pPr>
      <w:r w:rsidRPr="007E31BC">
        <w:rPr>
          <w:rFonts w:ascii="Times New Roman" w:hAnsi="Times New Roman" w:cs="Times New Roman"/>
          <w:sz w:val="26"/>
          <w:szCs w:val="26"/>
        </w:rPr>
        <w:t>The Vietnamese Six-Level Foreign Language Proficiency Framework is clearly linked with the CEFR.</w:t>
      </w:r>
    </w:p>
    <w:p w:rsidR="007E31BC" w:rsidRPr="00F9755E" w:rsidRDefault="007E31BC"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lastRenderedPageBreak/>
        <w:t xml:space="preserve">3. </w:t>
      </w:r>
      <w:r w:rsidR="00F9755E" w:rsidRPr="00F9755E">
        <w:rPr>
          <w:rFonts w:ascii="Times New Roman" w:hAnsi="Times New Roman" w:cs="Times New Roman"/>
          <w:b/>
          <w:bCs/>
          <w:sz w:val="26"/>
          <w:szCs w:val="26"/>
        </w:rPr>
        <w:t>Test structure and assessment methodology</w:t>
      </w: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3.1. Test Structure</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The NOCN ESOL International test assesses the four main modalities of the human language, as follows:</w:t>
      </w:r>
    </w:p>
    <w:p w:rsidR="00F9755E" w:rsidRPr="00F9755E" w:rsidRDefault="00F9755E" w:rsidP="00576781">
      <w:pPr>
        <w:pStyle w:val="ListParagraph"/>
        <w:numPr>
          <w:ilvl w:val="0"/>
          <w:numId w:val="30"/>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Listening</w:t>
      </w:r>
    </w:p>
    <w:p w:rsidR="00F9755E" w:rsidRPr="00F9755E" w:rsidRDefault="00F9755E" w:rsidP="00576781">
      <w:pPr>
        <w:pStyle w:val="ListParagraph"/>
        <w:numPr>
          <w:ilvl w:val="0"/>
          <w:numId w:val="30"/>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Reading</w:t>
      </w:r>
    </w:p>
    <w:p w:rsidR="00F9755E" w:rsidRPr="00F9755E" w:rsidRDefault="00F9755E" w:rsidP="00576781">
      <w:pPr>
        <w:pStyle w:val="ListParagraph"/>
        <w:numPr>
          <w:ilvl w:val="0"/>
          <w:numId w:val="30"/>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Writing</w:t>
      </w:r>
    </w:p>
    <w:p w:rsidR="00F9755E" w:rsidRPr="00F9755E" w:rsidRDefault="00F9755E" w:rsidP="00576781">
      <w:pPr>
        <w:pStyle w:val="ListParagraph"/>
        <w:numPr>
          <w:ilvl w:val="0"/>
          <w:numId w:val="30"/>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Speaking</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This four-modal framework is in line with other commonly applied international tests in Vietnam, including IELTS, Aptis ESOL, and VSTEP. Each of these four modalities is tested by a range of task types, which attempt to replicate real-life communicative usage, including:</w:t>
      </w:r>
    </w:p>
    <w:p w:rsidR="00F9755E" w:rsidRPr="00F9755E" w:rsidRDefault="00F9755E" w:rsidP="00576781">
      <w:pPr>
        <w:pStyle w:val="ListParagraph"/>
        <w:numPr>
          <w:ilvl w:val="0"/>
          <w:numId w:val="31"/>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Objective response tasks (e.g., multiple choice)</w:t>
      </w:r>
    </w:p>
    <w:p w:rsidR="00F9755E" w:rsidRPr="00F9755E" w:rsidRDefault="00F9755E" w:rsidP="00576781">
      <w:pPr>
        <w:pStyle w:val="ListParagraph"/>
        <w:numPr>
          <w:ilvl w:val="0"/>
          <w:numId w:val="31"/>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Controlled and extended writing tasks</w:t>
      </w:r>
    </w:p>
    <w:p w:rsidR="00F9755E" w:rsidRPr="00F9755E" w:rsidRDefault="00F9755E" w:rsidP="00576781">
      <w:pPr>
        <w:pStyle w:val="ListParagraph"/>
        <w:numPr>
          <w:ilvl w:val="0"/>
          <w:numId w:val="31"/>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Interactive speaking tasks, including role-plays and discussions</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This four-modal test framework is in line with the ALTE framework, which emphasizes the importance of the use of a variety of task formats in a test in order to comprehensively cover the construct of interest and increase test validity.</w:t>
      </w:r>
    </w:p>
    <w:p w:rsidR="00F9755E" w:rsidRPr="00F9755E" w:rsidRDefault="00F9755E" w:rsidP="00576781">
      <w:pPr>
        <w:spacing w:line="480" w:lineRule="auto"/>
        <w:jc w:val="both"/>
        <w:rPr>
          <w:rFonts w:ascii="Times New Roman" w:hAnsi="Times New Roman" w:cs="Times New Roman"/>
          <w:sz w:val="26"/>
          <w:szCs w:val="26"/>
        </w:rPr>
      </w:pP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3.2. Assessment Approach</w:t>
      </w:r>
    </w:p>
    <w:p w:rsidR="00F9755E" w:rsidRPr="00F9755E" w:rsidRDefault="00F9755E" w:rsidP="00576781">
      <w:p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The NOCN ESOL International test adopts a hybrid evaluative model, as follows:</w:t>
      </w:r>
    </w:p>
    <w:p w:rsidR="00F9755E" w:rsidRPr="00F9755E" w:rsidRDefault="00F9755E" w:rsidP="00576781">
      <w:pPr>
        <w:pStyle w:val="ListParagraph"/>
        <w:numPr>
          <w:ilvl w:val="0"/>
          <w:numId w:val="32"/>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lastRenderedPageBreak/>
        <w:t>The use of objective tests for the receptive skills of Listening and Reading, in order to eliminate any scoring bias</w:t>
      </w:r>
    </w:p>
    <w:p w:rsidR="00F9755E" w:rsidRPr="00F9755E" w:rsidRDefault="00F9755E" w:rsidP="00576781">
      <w:pPr>
        <w:pStyle w:val="ListParagraph"/>
        <w:numPr>
          <w:ilvl w:val="0"/>
          <w:numId w:val="32"/>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The use of criterion-referenced tests for the productive skills of Writing and Speaking, which reference the CEFR rating scale</w:t>
      </w:r>
    </w:p>
    <w:p w:rsidR="00F9755E" w:rsidRDefault="00F9755E" w:rsidP="00576781">
      <w:p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This test framework ensures that test results are primarily a function of the level of proficiency of the test-taker, and not a function of their rank in a group of test-takers.</w:t>
      </w:r>
    </w:p>
    <w:p w:rsidR="00F9755E" w:rsidRDefault="00F9755E" w:rsidP="00576781">
      <w:pPr>
        <w:spacing w:line="480" w:lineRule="auto"/>
        <w:jc w:val="both"/>
        <w:rPr>
          <w:rFonts w:ascii="Times New Roman" w:hAnsi="Times New Roman" w:cs="Times New Roman"/>
          <w:sz w:val="26"/>
          <w:szCs w:val="26"/>
        </w:rPr>
      </w:pP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4. Objectivity, reliability, and fairness</w:t>
      </w: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4.1. Objectivity</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In the case of the Listening and Reading tests, a standardised answer key is used, which reduces the element of subjectivity in the marking of the candidates’ responses.</w:t>
      </w:r>
    </w:p>
    <w:p w:rsidR="00F9755E" w:rsidRPr="00F9755E" w:rsidRDefault="00F9755E" w:rsidP="00576781">
      <w:pPr>
        <w:spacing w:line="480" w:lineRule="auto"/>
        <w:jc w:val="both"/>
        <w:rPr>
          <w:rFonts w:ascii="Times New Roman" w:hAnsi="Times New Roman" w:cs="Times New Roman"/>
          <w:sz w:val="26"/>
          <w:szCs w:val="26"/>
        </w:rPr>
      </w:pP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 xml:space="preserve">4.2. Reliability and </w:t>
      </w:r>
      <w:r>
        <w:rPr>
          <w:rFonts w:ascii="Times New Roman" w:hAnsi="Times New Roman" w:cs="Times New Roman"/>
          <w:b/>
          <w:bCs/>
          <w:sz w:val="26"/>
          <w:szCs w:val="26"/>
        </w:rPr>
        <w:t>a</w:t>
      </w:r>
      <w:r w:rsidRPr="00F9755E">
        <w:rPr>
          <w:rFonts w:ascii="Times New Roman" w:hAnsi="Times New Roman" w:cs="Times New Roman"/>
          <w:b/>
          <w:bCs/>
          <w:sz w:val="26"/>
          <w:szCs w:val="26"/>
        </w:rPr>
        <w:t>ccuracy</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In the case of the Writing and Speaking tests, the candidates are assessed by certified examiners. The quality assurance processes are as follows:</w:t>
      </w:r>
    </w:p>
    <w:p w:rsidR="00F9755E" w:rsidRPr="00F9755E" w:rsidRDefault="00F9755E" w:rsidP="00576781">
      <w:pPr>
        <w:pStyle w:val="ListParagraph"/>
        <w:numPr>
          <w:ilvl w:val="0"/>
          <w:numId w:val="34"/>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Initial training and certification of examiners;</w:t>
      </w:r>
    </w:p>
    <w:p w:rsidR="00F9755E" w:rsidRPr="00F9755E" w:rsidRDefault="00F9755E" w:rsidP="00576781">
      <w:pPr>
        <w:pStyle w:val="ListParagraph"/>
        <w:numPr>
          <w:ilvl w:val="0"/>
          <w:numId w:val="34"/>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Standardisation and calibration;</w:t>
      </w:r>
    </w:p>
    <w:p w:rsidR="00F9755E" w:rsidRPr="00F9755E" w:rsidRDefault="00F9755E" w:rsidP="00576781">
      <w:pPr>
        <w:pStyle w:val="ListParagraph"/>
        <w:numPr>
          <w:ilvl w:val="0"/>
          <w:numId w:val="34"/>
        </w:numPr>
        <w:spacing w:line="480" w:lineRule="auto"/>
        <w:jc w:val="both"/>
        <w:rPr>
          <w:rFonts w:ascii="Times New Roman" w:hAnsi="Times New Roman" w:cs="Times New Roman"/>
          <w:sz w:val="26"/>
          <w:szCs w:val="26"/>
        </w:rPr>
      </w:pPr>
      <w:r w:rsidRPr="00F9755E">
        <w:rPr>
          <w:rFonts w:ascii="Times New Roman" w:hAnsi="Times New Roman" w:cs="Times New Roman"/>
          <w:sz w:val="26"/>
          <w:szCs w:val="26"/>
        </w:rPr>
        <w:t>Continuous monitoring and evaluation of the examiners’ performance.</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These processes are in line with the regulatory requirements set by Ofqual in terms of reliability and consistency in the assessment of candidates.</w:t>
      </w:r>
    </w:p>
    <w:p w:rsidR="00F9755E" w:rsidRPr="00F9755E" w:rsidRDefault="00F9755E" w:rsidP="00576781">
      <w:pPr>
        <w:spacing w:line="480" w:lineRule="auto"/>
        <w:jc w:val="both"/>
        <w:rPr>
          <w:rFonts w:ascii="Times New Roman" w:hAnsi="Times New Roman" w:cs="Times New Roman"/>
          <w:sz w:val="26"/>
          <w:szCs w:val="26"/>
        </w:rPr>
      </w:pP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 xml:space="preserve">4.3. Fairness and </w:t>
      </w:r>
      <w:r>
        <w:rPr>
          <w:rFonts w:ascii="Times New Roman" w:hAnsi="Times New Roman" w:cs="Times New Roman"/>
          <w:b/>
          <w:bCs/>
          <w:sz w:val="26"/>
          <w:szCs w:val="26"/>
        </w:rPr>
        <w:t>a</w:t>
      </w:r>
      <w:r w:rsidRPr="00F9755E">
        <w:rPr>
          <w:rFonts w:ascii="Times New Roman" w:hAnsi="Times New Roman" w:cs="Times New Roman"/>
          <w:b/>
          <w:bCs/>
          <w:sz w:val="26"/>
          <w:szCs w:val="26"/>
        </w:rPr>
        <w:t>ccessibility</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lastRenderedPageBreak/>
        <w:t>In the design of the test, a variety of formats are used to ensure that the test is not biased towards any particular format, to cater to different backgrounds of the candidates, and to ensure accessibility to different types of candidates. This is in line with the internationally accepted guidelines on fairness in language assessment.</w:t>
      </w:r>
    </w:p>
    <w:p w:rsidR="00F9755E" w:rsidRPr="00F9755E" w:rsidRDefault="00F9755E" w:rsidP="00576781">
      <w:pPr>
        <w:spacing w:line="480" w:lineRule="auto"/>
        <w:jc w:val="both"/>
        <w:rPr>
          <w:rFonts w:ascii="Times New Roman" w:hAnsi="Times New Roman" w:cs="Times New Roman"/>
          <w:sz w:val="26"/>
          <w:szCs w:val="26"/>
        </w:rPr>
      </w:pP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 xml:space="preserve">5. Empirical </w:t>
      </w:r>
      <w:r>
        <w:rPr>
          <w:rFonts w:ascii="Times New Roman" w:hAnsi="Times New Roman" w:cs="Times New Roman"/>
          <w:b/>
          <w:bCs/>
          <w:sz w:val="26"/>
          <w:szCs w:val="26"/>
        </w:rPr>
        <w:t>e</w:t>
      </w:r>
      <w:r w:rsidRPr="00F9755E">
        <w:rPr>
          <w:rFonts w:ascii="Times New Roman" w:hAnsi="Times New Roman" w:cs="Times New Roman"/>
          <w:b/>
          <w:bCs/>
          <w:sz w:val="26"/>
          <w:szCs w:val="26"/>
        </w:rPr>
        <w:t xml:space="preserve">vidence of </w:t>
      </w:r>
      <w:r>
        <w:rPr>
          <w:rFonts w:ascii="Times New Roman" w:hAnsi="Times New Roman" w:cs="Times New Roman"/>
          <w:b/>
          <w:bCs/>
          <w:sz w:val="26"/>
          <w:szCs w:val="26"/>
        </w:rPr>
        <w:t>c</w:t>
      </w:r>
      <w:r w:rsidRPr="00F9755E">
        <w:rPr>
          <w:rFonts w:ascii="Times New Roman" w:hAnsi="Times New Roman" w:cs="Times New Roman"/>
          <w:b/>
          <w:bCs/>
          <w:sz w:val="26"/>
          <w:szCs w:val="26"/>
        </w:rPr>
        <w:t>omparability</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A benchmarking study was carried out on 200 Vietnamese candidates, wherein the candidates possessed internationally recognised qualifications such as IELTS, Aptis ESOL, or nationally recognised qualifications such as VSTEP.</w:t>
      </w:r>
    </w:p>
    <w:p w:rsidR="00F9755E" w:rsidRPr="00F9755E" w:rsidRDefault="00F9755E" w:rsidP="00576781">
      <w:pPr>
        <w:spacing w:line="480" w:lineRule="auto"/>
        <w:jc w:val="both"/>
        <w:rPr>
          <w:rFonts w:ascii="Times New Roman" w:hAnsi="Times New Roman" w:cs="Times New Roman"/>
          <w:sz w:val="26"/>
          <w:szCs w:val="26"/>
        </w:rPr>
      </w:pP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5.1. Methodology</w:t>
      </w:r>
    </w:p>
    <w:p w:rsid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The participants took the NOCN ESOL International test, and their results were compared to previous results. A correlation analysis was carried out according to proficiency levels.</w:t>
      </w:r>
    </w:p>
    <w:p w:rsidR="00F9755E" w:rsidRPr="00F9755E" w:rsidRDefault="00F9755E" w:rsidP="00576781">
      <w:pPr>
        <w:spacing w:line="480" w:lineRule="auto"/>
        <w:jc w:val="both"/>
        <w:rPr>
          <w:rFonts w:ascii="Times New Roman" w:hAnsi="Times New Roman" w:cs="Times New Roman"/>
          <w:b/>
          <w:bCs/>
          <w:sz w:val="26"/>
          <w:szCs w:val="26"/>
        </w:rPr>
      </w:pPr>
      <w:r w:rsidRPr="00F9755E">
        <w:rPr>
          <w:rFonts w:ascii="Times New Roman" w:hAnsi="Times New Roman" w:cs="Times New Roman"/>
          <w:b/>
          <w:bCs/>
          <w:sz w:val="26"/>
          <w:szCs w:val="26"/>
        </w:rPr>
        <w:t xml:space="preserve">5.2. Key </w:t>
      </w:r>
      <w:r w:rsidR="005812A4">
        <w:rPr>
          <w:rFonts w:ascii="Times New Roman" w:hAnsi="Times New Roman" w:cs="Times New Roman"/>
          <w:b/>
          <w:bCs/>
          <w:sz w:val="26"/>
          <w:szCs w:val="26"/>
        </w:rPr>
        <w:t>f</w:t>
      </w:r>
      <w:r w:rsidRPr="00F9755E">
        <w:rPr>
          <w:rFonts w:ascii="Times New Roman" w:hAnsi="Times New Roman" w:cs="Times New Roman"/>
          <w:b/>
          <w:bCs/>
          <w:sz w:val="26"/>
          <w:szCs w:val="26"/>
        </w:rPr>
        <w:t>indings</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Overall, the results showed a high level of comparability, which is 96.5%.</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Specifically, the results showed that:</w:t>
      </w:r>
    </w:p>
    <w:p w:rsidR="00F9755E" w:rsidRPr="005812A4" w:rsidRDefault="00F9755E" w:rsidP="00576781">
      <w:pPr>
        <w:pStyle w:val="ListParagraph"/>
        <w:numPr>
          <w:ilvl w:val="0"/>
          <w:numId w:val="35"/>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For B1 proficiency level, the results showed an alignment of about 94.6%;</w:t>
      </w:r>
    </w:p>
    <w:p w:rsidR="00F9755E" w:rsidRPr="005812A4" w:rsidRDefault="00F9755E" w:rsidP="00576781">
      <w:pPr>
        <w:pStyle w:val="ListParagraph"/>
        <w:numPr>
          <w:ilvl w:val="0"/>
          <w:numId w:val="35"/>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For B2 proficiency level, the results showed an alignment of about 94.6%;</w:t>
      </w:r>
    </w:p>
    <w:p w:rsidR="00F9755E" w:rsidRPr="005812A4" w:rsidRDefault="00F9755E" w:rsidP="00576781">
      <w:pPr>
        <w:pStyle w:val="ListParagraph"/>
        <w:numPr>
          <w:ilvl w:val="0"/>
          <w:numId w:val="35"/>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For C1 proficiency level, the results showed an alignment of about 94.1%.</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It is evident that a high level of alignment exists between the NOCN qualifications and other existing language proficiency tests used in Vietnam.</w:t>
      </w:r>
    </w:p>
    <w:p w:rsidR="00F9755E" w:rsidRPr="00F9755E" w:rsidRDefault="00F9755E" w:rsidP="00576781">
      <w:pPr>
        <w:spacing w:line="480" w:lineRule="auto"/>
        <w:jc w:val="both"/>
        <w:rPr>
          <w:rFonts w:ascii="Times New Roman" w:hAnsi="Times New Roman" w:cs="Times New Roman"/>
          <w:sz w:val="26"/>
          <w:szCs w:val="26"/>
        </w:rPr>
      </w:pPr>
    </w:p>
    <w:p w:rsidR="00F9755E" w:rsidRPr="005812A4" w:rsidRDefault="00F9755E" w:rsidP="00576781">
      <w:pPr>
        <w:spacing w:line="480" w:lineRule="auto"/>
        <w:jc w:val="both"/>
        <w:rPr>
          <w:rFonts w:ascii="Times New Roman" w:hAnsi="Times New Roman" w:cs="Times New Roman"/>
          <w:b/>
          <w:bCs/>
          <w:sz w:val="26"/>
          <w:szCs w:val="26"/>
        </w:rPr>
      </w:pPr>
      <w:r w:rsidRPr="005812A4">
        <w:rPr>
          <w:rFonts w:ascii="Times New Roman" w:hAnsi="Times New Roman" w:cs="Times New Roman"/>
          <w:b/>
          <w:bCs/>
          <w:sz w:val="26"/>
          <w:szCs w:val="26"/>
        </w:rPr>
        <w:t xml:space="preserve">6. Alignment and </w:t>
      </w:r>
      <w:r w:rsidR="005812A4">
        <w:rPr>
          <w:rFonts w:ascii="Times New Roman" w:hAnsi="Times New Roman" w:cs="Times New Roman"/>
          <w:b/>
          <w:bCs/>
          <w:sz w:val="26"/>
          <w:szCs w:val="26"/>
        </w:rPr>
        <w:t>r</w:t>
      </w:r>
      <w:r w:rsidRPr="005812A4">
        <w:rPr>
          <w:rFonts w:ascii="Times New Roman" w:hAnsi="Times New Roman" w:cs="Times New Roman"/>
          <w:b/>
          <w:bCs/>
          <w:sz w:val="26"/>
          <w:szCs w:val="26"/>
        </w:rPr>
        <w:t xml:space="preserve">ecognition in the Vietnamese </w:t>
      </w:r>
      <w:r w:rsidR="005812A4">
        <w:rPr>
          <w:rFonts w:ascii="Times New Roman" w:hAnsi="Times New Roman" w:cs="Times New Roman"/>
          <w:b/>
          <w:bCs/>
          <w:sz w:val="26"/>
          <w:szCs w:val="26"/>
        </w:rPr>
        <w:t>c</w:t>
      </w:r>
      <w:r w:rsidRPr="005812A4">
        <w:rPr>
          <w:rFonts w:ascii="Times New Roman" w:hAnsi="Times New Roman" w:cs="Times New Roman"/>
          <w:b/>
          <w:bCs/>
          <w:sz w:val="26"/>
          <w:szCs w:val="26"/>
        </w:rPr>
        <w:t>ontext</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NOCN ESOL International levels, in line with the results of the CEFR alignment and empirical benchmarking, are aligned to the Vietnamese language proficiency levels as follows:</w:t>
      </w:r>
    </w:p>
    <w:p w:rsidR="00F9755E" w:rsidRPr="005812A4" w:rsidRDefault="00F9755E" w:rsidP="00576781">
      <w:pPr>
        <w:pStyle w:val="ListParagraph"/>
        <w:numPr>
          <w:ilvl w:val="0"/>
          <w:numId w:val="36"/>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CEFR B1 corresponds to VNFLPF Level 3;</w:t>
      </w:r>
    </w:p>
    <w:p w:rsidR="00F9755E" w:rsidRPr="005812A4" w:rsidRDefault="00F9755E" w:rsidP="00576781">
      <w:pPr>
        <w:pStyle w:val="ListParagraph"/>
        <w:numPr>
          <w:ilvl w:val="0"/>
          <w:numId w:val="36"/>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CEFR B2 corresponds to VNFLPF Level 4;</w:t>
      </w:r>
    </w:p>
    <w:p w:rsidR="00F9755E" w:rsidRPr="005812A4" w:rsidRDefault="00F9755E" w:rsidP="00576781">
      <w:pPr>
        <w:pStyle w:val="ListParagraph"/>
        <w:numPr>
          <w:ilvl w:val="0"/>
          <w:numId w:val="36"/>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CEFR C1 corresponds to VNFLPF Level 5.</w:t>
      </w:r>
    </w:p>
    <w:p w:rsidR="00F9755E" w:rsidRPr="00F9755E" w:rsidRDefault="00F9755E" w:rsidP="00576781">
      <w:pPr>
        <w:spacing w:line="480" w:lineRule="auto"/>
        <w:ind w:firstLine="567"/>
        <w:jc w:val="both"/>
        <w:rPr>
          <w:rFonts w:ascii="Times New Roman" w:hAnsi="Times New Roman" w:cs="Times New Roman"/>
          <w:sz w:val="26"/>
          <w:szCs w:val="26"/>
        </w:rPr>
      </w:pPr>
      <w:r w:rsidRPr="00F9755E">
        <w:rPr>
          <w:rFonts w:ascii="Times New Roman" w:hAnsi="Times New Roman" w:cs="Times New Roman"/>
          <w:sz w:val="26"/>
          <w:szCs w:val="26"/>
        </w:rPr>
        <w:t>These levels are relevant to the language proficiency needed in Vietnam in the following areas:</w:t>
      </w:r>
    </w:p>
    <w:p w:rsidR="00F9755E" w:rsidRPr="005812A4" w:rsidRDefault="00F9755E" w:rsidP="00576781">
      <w:pPr>
        <w:pStyle w:val="ListParagraph"/>
        <w:numPr>
          <w:ilvl w:val="0"/>
          <w:numId w:val="37"/>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Upper secondary school graduation;</w:t>
      </w:r>
    </w:p>
    <w:p w:rsidR="00F9755E" w:rsidRPr="005812A4" w:rsidRDefault="00F9755E" w:rsidP="00576781">
      <w:pPr>
        <w:pStyle w:val="ListParagraph"/>
        <w:numPr>
          <w:ilvl w:val="0"/>
          <w:numId w:val="37"/>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University admission;</w:t>
      </w:r>
    </w:p>
    <w:p w:rsidR="00F9755E" w:rsidRPr="005812A4" w:rsidRDefault="00F9755E" w:rsidP="00576781">
      <w:pPr>
        <w:pStyle w:val="ListParagraph"/>
        <w:numPr>
          <w:ilvl w:val="0"/>
          <w:numId w:val="37"/>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English language exit requirements for undergraduate programs;</w:t>
      </w:r>
    </w:p>
    <w:p w:rsidR="00F9755E" w:rsidRPr="005812A4" w:rsidRDefault="00F9755E" w:rsidP="00576781">
      <w:pPr>
        <w:pStyle w:val="ListParagraph"/>
        <w:numPr>
          <w:ilvl w:val="0"/>
          <w:numId w:val="37"/>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Language proficiency requirements for postgraduate programs (Master’s and Doctoral programs);</w:t>
      </w:r>
    </w:p>
    <w:p w:rsidR="00F9755E" w:rsidRDefault="00F9755E" w:rsidP="00576781">
      <w:pPr>
        <w:pStyle w:val="ListParagraph"/>
        <w:numPr>
          <w:ilvl w:val="0"/>
          <w:numId w:val="37"/>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International joint training programs.</w:t>
      </w:r>
    </w:p>
    <w:p w:rsidR="005812A4" w:rsidRDefault="005812A4" w:rsidP="00576781">
      <w:pPr>
        <w:spacing w:line="480" w:lineRule="auto"/>
        <w:jc w:val="both"/>
        <w:rPr>
          <w:rFonts w:ascii="Times New Roman" w:hAnsi="Times New Roman" w:cs="Times New Roman"/>
          <w:sz w:val="26"/>
          <w:szCs w:val="26"/>
        </w:rPr>
      </w:pPr>
    </w:p>
    <w:p w:rsidR="005812A4" w:rsidRPr="005812A4" w:rsidRDefault="005812A4" w:rsidP="00576781">
      <w:pPr>
        <w:spacing w:line="480" w:lineRule="auto"/>
        <w:jc w:val="both"/>
        <w:rPr>
          <w:rFonts w:ascii="Times New Roman" w:hAnsi="Times New Roman" w:cs="Times New Roman"/>
          <w:b/>
          <w:bCs/>
          <w:sz w:val="26"/>
          <w:szCs w:val="26"/>
        </w:rPr>
      </w:pPr>
      <w:r w:rsidRPr="005812A4">
        <w:rPr>
          <w:rFonts w:ascii="Times New Roman" w:hAnsi="Times New Roman" w:cs="Times New Roman"/>
          <w:b/>
          <w:bCs/>
          <w:sz w:val="26"/>
          <w:szCs w:val="26"/>
        </w:rPr>
        <w:t>7. Conclusion</w:t>
      </w:r>
    </w:p>
    <w:p w:rsidR="005812A4" w:rsidRPr="005812A4" w:rsidRDefault="005812A4" w:rsidP="00576781">
      <w:pPr>
        <w:spacing w:line="480" w:lineRule="auto"/>
        <w:ind w:firstLine="567"/>
        <w:jc w:val="both"/>
        <w:rPr>
          <w:rFonts w:ascii="Times New Roman" w:hAnsi="Times New Roman" w:cs="Times New Roman"/>
          <w:sz w:val="26"/>
          <w:szCs w:val="26"/>
        </w:rPr>
      </w:pPr>
      <w:r w:rsidRPr="005812A4">
        <w:rPr>
          <w:rFonts w:ascii="Times New Roman" w:hAnsi="Times New Roman" w:cs="Times New Roman"/>
          <w:sz w:val="26"/>
          <w:szCs w:val="26"/>
        </w:rPr>
        <w:t>On the basis of an assessment of the structure of the test, the methodology of assessment, and benchmarking, the following conclusions are drawn:</w:t>
      </w:r>
    </w:p>
    <w:p w:rsidR="005812A4" w:rsidRPr="005812A4" w:rsidRDefault="005812A4" w:rsidP="00576781">
      <w:pPr>
        <w:pStyle w:val="ListParagraph"/>
        <w:numPr>
          <w:ilvl w:val="0"/>
          <w:numId w:val="38"/>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lastRenderedPageBreak/>
        <w:t>The NOCN ESOL International examination demonstrates a strong degree of alignment with international assessment standards.</w:t>
      </w:r>
    </w:p>
    <w:p w:rsidR="005812A4" w:rsidRPr="005812A4" w:rsidRDefault="005812A4" w:rsidP="00576781">
      <w:pPr>
        <w:pStyle w:val="ListParagraph"/>
        <w:numPr>
          <w:ilvl w:val="0"/>
          <w:numId w:val="38"/>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The assessment framework achieves a high degree of objectivity, reliability, and fairness.</w:t>
      </w:r>
    </w:p>
    <w:p w:rsidR="005812A4" w:rsidRPr="005812A4" w:rsidRDefault="005812A4" w:rsidP="00576781">
      <w:pPr>
        <w:pStyle w:val="ListParagraph"/>
        <w:numPr>
          <w:ilvl w:val="0"/>
          <w:numId w:val="38"/>
        </w:numPr>
        <w:spacing w:line="480" w:lineRule="auto"/>
        <w:jc w:val="both"/>
        <w:rPr>
          <w:rFonts w:ascii="Times New Roman" w:hAnsi="Times New Roman" w:cs="Times New Roman"/>
          <w:sz w:val="26"/>
          <w:szCs w:val="26"/>
        </w:rPr>
      </w:pPr>
      <w:r w:rsidRPr="005812A4">
        <w:rPr>
          <w:rFonts w:ascii="Times New Roman" w:hAnsi="Times New Roman" w:cs="Times New Roman"/>
          <w:sz w:val="26"/>
          <w:szCs w:val="26"/>
        </w:rPr>
        <w:t>The evidence suggests a substantial degree of comparability with other international qualifications recognized globally, which are used in Vietnam.</w:t>
      </w:r>
    </w:p>
    <w:p w:rsidR="005812A4" w:rsidRPr="005812A4" w:rsidRDefault="005812A4" w:rsidP="00576781">
      <w:pPr>
        <w:spacing w:line="480" w:lineRule="auto"/>
        <w:ind w:firstLine="567"/>
        <w:jc w:val="both"/>
        <w:rPr>
          <w:rFonts w:ascii="Times New Roman" w:hAnsi="Times New Roman" w:cs="Times New Roman"/>
          <w:sz w:val="26"/>
          <w:szCs w:val="26"/>
        </w:rPr>
      </w:pPr>
      <w:r w:rsidRPr="005812A4">
        <w:rPr>
          <w:rFonts w:ascii="Times New Roman" w:hAnsi="Times New Roman" w:cs="Times New Roman"/>
          <w:sz w:val="26"/>
          <w:szCs w:val="26"/>
        </w:rPr>
        <w:t>NOCN qualifications provide a valid and reliable assessment of English language skills for upper secondary graduation, higher education, and academic progression in Vietnam.</w:t>
      </w:r>
    </w:p>
    <w:p w:rsidR="00576781" w:rsidRDefault="005812A4" w:rsidP="00576781">
      <w:pPr>
        <w:spacing w:line="480" w:lineRule="auto"/>
        <w:ind w:firstLine="567"/>
        <w:jc w:val="both"/>
        <w:rPr>
          <w:rFonts w:ascii="Times New Roman" w:hAnsi="Times New Roman" w:cs="Times New Roman"/>
          <w:sz w:val="26"/>
          <w:szCs w:val="26"/>
        </w:rPr>
      </w:pPr>
      <w:r w:rsidRPr="005812A4">
        <w:rPr>
          <w:rFonts w:ascii="Times New Roman" w:hAnsi="Times New Roman" w:cs="Times New Roman"/>
          <w:sz w:val="26"/>
          <w:szCs w:val="26"/>
        </w:rPr>
        <w:t>It may be concluded that the implementation of NOCN ESOL International qualifications offers a strong assessment of language skills, which contributes to the standardization of the education system in Vietnam through its integration with international standards.</w:t>
      </w:r>
    </w:p>
    <w:p w:rsidR="00576781" w:rsidRDefault="00576781">
      <w:pPr>
        <w:rPr>
          <w:rFonts w:ascii="Times New Roman" w:hAnsi="Times New Roman" w:cs="Times New Roman"/>
          <w:sz w:val="26"/>
          <w:szCs w:val="26"/>
        </w:rPr>
      </w:pPr>
      <w:r>
        <w:rPr>
          <w:rFonts w:ascii="Times New Roman" w:hAnsi="Times New Roman" w:cs="Times New Roman"/>
          <w:sz w:val="26"/>
          <w:szCs w:val="26"/>
        </w:rPr>
        <w:br w:type="page"/>
      </w:r>
    </w:p>
    <w:p w:rsidR="005812A4" w:rsidRPr="00576781" w:rsidRDefault="00576781" w:rsidP="00576781">
      <w:pPr>
        <w:spacing w:line="480" w:lineRule="auto"/>
        <w:jc w:val="both"/>
        <w:rPr>
          <w:rFonts w:ascii="Times New Roman" w:hAnsi="Times New Roman" w:cs="Times New Roman"/>
          <w:b/>
          <w:bCs/>
          <w:sz w:val="26"/>
          <w:szCs w:val="26"/>
        </w:rPr>
      </w:pPr>
      <w:r w:rsidRPr="00576781">
        <w:rPr>
          <w:rFonts w:ascii="Times New Roman" w:hAnsi="Times New Roman" w:cs="Times New Roman"/>
          <w:b/>
          <w:bCs/>
          <w:sz w:val="26"/>
          <w:szCs w:val="26"/>
        </w:rPr>
        <w:lastRenderedPageBreak/>
        <w:t>References</w:t>
      </w:r>
    </w:p>
    <w:p w:rsidR="00576781" w:rsidRDefault="00576781" w:rsidP="00576781">
      <w:pPr>
        <w:pStyle w:val="NormalWeb"/>
        <w:spacing w:before="0" w:beforeAutospacing="0" w:after="0" w:afterAutospacing="0" w:line="480" w:lineRule="auto"/>
        <w:ind w:firstLine="851"/>
      </w:pPr>
      <w:r>
        <w:t xml:space="preserve">Alderson, J. C., Clapham, C., &amp; Wall, D. (1995). </w:t>
      </w:r>
      <w:r>
        <w:rPr>
          <w:rStyle w:val="Emphasis"/>
          <w:rFonts w:eastAsiaTheme="majorEastAsia"/>
        </w:rPr>
        <w:t>Language test construction and evaluation</w:t>
      </w:r>
      <w:r>
        <w:t>. Cambridge University Press.</w:t>
      </w:r>
    </w:p>
    <w:p w:rsidR="00576781" w:rsidRDefault="00576781" w:rsidP="00576781">
      <w:pPr>
        <w:pStyle w:val="NormalWeb"/>
        <w:spacing w:before="0" w:beforeAutospacing="0" w:after="0" w:afterAutospacing="0" w:line="480" w:lineRule="auto"/>
        <w:ind w:firstLine="851"/>
      </w:pPr>
      <w:r>
        <w:t xml:space="preserve">Association of Language Testers in Europe. (2011). </w:t>
      </w:r>
      <w:r>
        <w:rPr>
          <w:rStyle w:val="Emphasis"/>
          <w:rFonts w:eastAsiaTheme="majorEastAsia"/>
        </w:rPr>
        <w:t>Manual for language test development and examining</w:t>
      </w:r>
      <w:r>
        <w:t>. ALTE.</w:t>
      </w:r>
    </w:p>
    <w:p w:rsidR="00576781" w:rsidRDefault="00576781" w:rsidP="00576781">
      <w:pPr>
        <w:pStyle w:val="NormalWeb"/>
        <w:spacing w:before="0" w:beforeAutospacing="0" w:after="0" w:afterAutospacing="0" w:line="480" w:lineRule="auto"/>
        <w:ind w:firstLine="851"/>
      </w:pPr>
      <w:r>
        <w:t xml:space="preserve">Bachman, L. F. (1990). </w:t>
      </w:r>
      <w:r>
        <w:rPr>
          <w:rStyle w:val="Emphasis"/>
          <w:rFonts w:eastAsiaTheme="majorEastAsia"/>
        </w:rPr>
        <w:t>Fundamental considerations in language testing</w:t>
      </w:r>
      <w:r>
        <w:t>. Oxford University Press.</w:t>
      </w:r>
    </w:p>
    <w:p w:rsidR="00576781" w:rsidRDefault="00576781" w:rsidP="00576781">
      <w:pPr>
        <w:pStyle w:val="NormalWeb"/>
        <w:spacing w:before="0" w:beforeAutospacing="0" w:after="0" w:afterAutospacing="0" w:line="480" w:lineRule="auto"/>
        <w:ind w:firstLine="851"/>
      </w:pPr>
      <w:r>
        <w:t xml:space="preserve">Bachman, L. F., &amp; Palmer, A. S. (1996). </w:t>
      </w:r>
      <w:r>
        <w:rPr>
          <w:rStyle w:val="Emphasis"/>
          <w:rFonts w:eastAsiaTheme="majorEastAsia"/>
        </w:rPr>
        <w:t>Language testing in practice</w:t>
      </w:r>
      <w:r>
        <w:t>. Oxford University Press.</w:t>
      </w:r>
    </w:p>
    <w:p w:rsidR="00576781" w:rsidRDefault="00576781" w:rsidP="00576781">
      <w:pPr>
        <w:pStyle w:val="NormalWeb"/>
        <w:spacing w:before="0" w:beforeAutospacing="0" w:after="0" w:afterAutospacing="0" w:line="480" w:lineRule="auto"/>
        <w:ind w:firstLine="851"/>
      </w:pPr>
      <w:r>
        <w:t xml:space="preserve">Brown, H. D., &amp; Abeywickrama, P. (2010). </w:t>
      </w:r>
      <w:r>
        <w:rPr>
          <w:rStyle w:val="Emphasis"/>
          <w:rFonts w:eastAsiaTheme="majorEastAsia"/>
        </w:rPr>
        <w:t>Language assessment: Principles and classroom practices</w:t>
      </w:r>
      <w:r>
        <w:t xml:space="preserve"> (2nd ed.). Pearson.</w:t>
      </w:r>
    </w:p>
    <w:p w:rsidR="00576781" w:rsidRDefault="00576781" w:rsidP="00576781">
      <w:pPr>
        <w:pStyle w:val="NormalWeb"/>
        <w:spacing w:before="0" w:beforeAutospacing="0" w:after="0" w:afterAutospacing="0" w:line="480" w:lineRule="auto"/>
        <w:ind w:firstLine="851"/>
      </w:pPr>
      <w:r>
        <w:t xml:space="preserve">Council of Europe. (2001). </w:t>
      </w:r>
      <w:r>
        <w:rPr>
          <w:rStyle w:val="Emphasis"/>
          <w:rFonts w:eastAsiaTheme="majorEastAsia"/>
        </w:rPr>
        <w:t>Common European framework of reference for languages: Learning, teaching, assessment</w:t>
      </w:r>
      <w:r>
        <w:t>. Cambridge University Press.</w:t>
      </w:r>
    </w:p>
    <w:p w:rsidR="00576781" w:rsidRDefault="00576781" w:rsidP="00576781">
      <w:pPr>
        <w:pStyle w:val="NormalWeb"/>
        <w:spacing w:before="0" w:beforeAutospacing="0" w:after="0" w:afterAutospacing="0" w:line="480" w:lineRule="auto"/>
        <w:ind w:firstLine="851"/>
      </w:pPr>
      <w:r>
        <w:t xml:space="preserve">Council of Europe. (2020). </w:t>
      </w:r>
      <w:r>
        <w:rPr>
          <w:rStyle w:val="Emphasis"/>
          <w:rFonts w:eastAsiaTheme="majorEastAsia"/>
        </w:rPr>
        <w:t>Common European framework of reference for languages: Learning, teaching, assessment: Companion volume</w:t>
      </w:r>
      <w:r>
        <w:t>.</w:t>
      </w:r>
    </w:p>
    <w:p w:rsidR="00576781" w:rsidRDefault="00576781" w:rsidP="00576781">
      <w:pPr>
        <w:pStyle w:val="NormalWeb"/>
        <w:spacing w:before="0" w:beforeAutospacing="0" w:after="0" w:afterAutospacing="0" w:line="480" w:lineRule="auto"/>
        <w:ind w:firstLine="851"/>
      </w:pPr>
      <w:r>
        <w:t xml:space="preserve">Kane, M. (2006). Validation. In R. L. Brennan (Ed.), </w:t>
      </w:r>
      <w:r>
        <w:rPr>
          <w:rStyle w:val="Emphasis"/>
          <w:rFonts w:eastAsiaTheme="majorEastAsia"/>
        </w:rPr>
        <w:t>Educational measurement</w:t>
      </w:r>
      <w:r>
        <w:t xml:space="preserve"> (4th ed., pp. 17–64). Praeger.</w:t>
      </w:r>
    </w:p>
    <w:p w:rsidR="00576781" w:rsidRDefault="00576781" w:rsidP="00576781">
      <w:pPr>
        <w:pStyle w:val="NormalWeb"/>
        <w:spacing w:before="0" w:beforeAutospacing="0" w:after="0" w:afterAutospacing="0" w:line="480" w:lineRule="auto"/>
        <w:ind w:firstLine="851"/>
      </w:pPr>
      <w:r>
        <w:t xml:space="preserve">Messick, S. (1989). Validity. In R. L. Linn (Ed.), </w:t>
      </w:r>
      <w:r>
        <w:rPr>
          <w:rStyle w:val="Emphasis"/>
          <w:rFonts w:eastAsiaTheme="majorEastAsia"/>
        </w:rPr>
        <w:t>Educational measurement</w:t>
      </w:r>
      <w:r>
        <w:t xml:space="preserve"> (3rd ed., pp. 13–103). American Council on Education.</w:t>
      </w:r>
    </w:p>
    <w:p w:rsidR="00576781" w:rsidRDefault="00576781" w:rsidP="00576781">
      <w:pPr>
        <w:pStyle w:val="NormalWeb"/>
        <w:spacing w:before="0" w:beforeAutospacing="0" w:after="0" w:afterAutospacing="0" w:line="480" w:lineRule="auto"/>
        <w:ind w:firstLine="851"/>
      </w:pPr>
      <w:r>
        <w:t xml:space="preserve">Ministry of Education and Training. (2015). </w:t>
      </w:r>
      <w:r>
        <w:rPr>
          <w:rStyle w:val="Emphasis"/>
          <w:rFonts w:eastAsiaTheme="majorEastAsia"/>
        </w:rPr>
        <w:t>Vietnamese six-level foreign language proficiency framework</w:t>
      </w:r>
      <w:r>
        <w:t>. Vietnam MOET.</w:t>
      </w:r>
    </w:p>
    <w:p w:rsidR="00576781" w:rsidRDefault="00576781" w:rsidP="00576781">
      <w:pPr>
        <w:pStyle w:val="NormalWeb"/>
        <w:spacing w:before="0" w:beforeAutospacing="0" w:after="0" w:afterAutospacing="0" w:line="480" w:lineRule="auto"/>
        <w:ind w:firstLine="851"/>
      </w:pPr>
      <w:r>
        <w:t xml:space="preserve">NOCN Group. (2023). </w:t>
      </w:r>
      <w:r>
        <w:rPr>
          <w:rStyle w:val="Emphasis"/>
          <w:rFonts w:eastAsiaTheme="majorEastAsia"/>
        </w:rPr>
        <w:t>NOCN ESOL international qualification specifications</w:t>
      </w:r>
      <w:r>
        <w:t>.</w:t>
      </w:r>
    </w:p>
    <w:p w:rsidR="00576781" w:rsidRDefault="00576781" w:rsidP="00576781">
      <w:pPr>
        <w:pStyle w:val="NormalWeb"/>
        <w:spacing w:before="0" w:beforeAutospacing="0" w:after="0" w:afterAutospacing="0" w:line="480" w:lineRule="auto"/>
        <w:ind w:firstLine="851"/>
      </w:pPr>
      <w:r>
        <w:lastRenderedPageBreak/>
        <w:t xml:space="preserve">Office of Qualifications and Examinations Regulation. (2015). </w:t>
      </w:r>
      <w:r>
        <w:rPr>
          <w:rStyle w:val="Emphasis"/>
          <w:rFonts w:eastAsiaTheme="majorEastAsia"/>
        </w:rPr>
        <w:t>General conditions of recognition</w:t>
      </w:r>
      <w:r>
        <w:t>. Ofqual.</w:t>
      </w:r>
    </w:p>
    <w:p w:rsidR="00576781" w:rsidRDefault="00576781" w:rsidP="00576781">
      <w:pPr>
        <w:pStyle w:val="NormalWeb"/>
        <w:spacing w:before="0" w:beforeAutospacing="0" w:after="0" w:afterAutospacing="0" w:line="480" w:lineRule="auto"/>
        <w:ind w:firstLine="851"/>
      </w:pPr>
      <w:r>
        <w:t xml:space="preserve">Weir, C. J. (2005). </w:t>
      </w:r>
      <w:r>
        <w:rPr>
          <w:rStyle w:val="Emphasis"/>
          <w:rFonts w:eastAsiaTheme="majorEastAsia"/>
        </w:rPr>
        <w:t>Language testing and validation: An evidence-based approach</w:t>
      </w:r>
      <w:r>
        <w:t>. Palgrave Macmillan.</w:t>
      </w:r>
    </w:p>
    <w:p w:rsidR="00576781" w:rsidRDefault="00576781" w:rsidP="00576781">
      <w:pPr>
        <w:spacing w:line="480" w:lineRule="auto"/>
        <w:jc w:val="both"/>
        <w:rPr>
          <w:rFonts w:ascii="Times New Roman" w:hAnsi="Times New Roman" w:cs="Times New Roman"/>
          <w:sz w:val="26"/>
          <w:szCs w:val="26"/>
        </w:rPr>
      </w:pPr>
    </w:p>
    <w:p w:rsidR="00576781" w:rsidRPr="005812A4" w:rsidRDefault="00576781" w:rsidP="00576781">
      <w:pPr>
        <w:spacing w:line="480" w:lineRule="auto"/>
        <w:jc w:val="both"/>
        <w:rPr>
          <w:rFonts w:ascii="Times New Roman" w:hAnsi="Times New Roman" w:cs="Times New Roman"/>
          <w:sz w:val="26"/>
          <w:szCs w:val="26"/>
        </w:rPr>
      </w:pPr>
    </w:p>
    <w:sectPr w:rsidR="00576781" w:rsidRPr="005812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679"/>
    <w:multiLevelType w:val="hybridMultilevel"/>
    <w:tmpl w:val="A212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47034"/>
    <w:multiLevelType w:val="hybridMultilevel"/>
    <w:tmpl w:val="8C9EFC2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A609A"/>
    <w:multiLevelType w:val="hybridMultilevel"/>
    <w:tmpl w:val="8786BC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6C86086"/>
    <w:multiLevelType w:val="hybridMultilevel"/>
    <w:tmpl w:val="851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47A94"/>
    <w:multiLevelType w:val="hybridMultilevel"/>
    <w:tmpl w:val="B586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3060"/>
    <w:multiLevelType w:val="hybridMultilevel"/>
    <w:tmpl w:val="0768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5699"/>
    <w:multiLevelType w:val="hybridMultilevel"/>
    <w:tmpl w:val="B2F605C8"/>
    <w:lvl w:ilvl="0" w:tplc="EFEE1038">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8A0C89"/>
    <w:multiLevelType w:val="hybridMultilevel"/>
    <w:tmpl w:val="E47AAC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AB7276"/>
    <w:multiLevelType w:val="hybridMultilevel"/>
    <w:tmpl w:val="DD16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37908"/>
    <w:multiLevelType w:val="hybridMultilevel"/>
    <w:tmpl w:val="0484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31F9B"/>
    <w:multiLevelType w:val="hybridMultilevel"/>
    <w:tmpl w:val="DC8A1E9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534D7"/>
    <w:multiLevelType w:val="hybridMultilevel"/>
    <w:tmpl w:val="9F44A13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77038"/>
    <w:multiLevelType w:val="hybridMultilevel"/>
    <w:tmpl w:val="EBC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9697A"/>
    <w:multiLevelType w:val="hybridMultilevel"/>
    <w:tmpl w:val="5F7802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0794271"/>
    <w:multiLevelType w:val="hybridMultilevel"/>
    <w:tmpl w:val="5B0E8B4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41433"/>
    <w:multiLevelType w:val="hybridMultilevel"/>
    <w:tmpl w:val="5816C1EA"/>
    <w:lvl w:ilvl="0" w:tplc="EFEE1038">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74E1F"/>
    <w:multiLevelType w:val="hybridMultilevel"/>
    <w:tmpl w:val="5E1A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D5996"/>
    <w:multiLevelType w:val="hybridMultilevel"/>
    <w:tmpl w:val="433E02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0094D26"/>
    <w:multiLevelType w:val="hybridMultilevel"/>
    <w:tmpl w:val="00F4DDB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46739"/>
    <w:multiLevelType w:val="hybridMultilevel"/>
    <w:tmpl w:val="A2A889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2061C6A"/>
    <w:multiLevelType w:val="hybridMultilevel"/>
    <w:tmpl w:val="A11E8A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8744070"/>
    <w:multiLevelType w:val="hybridMultilevel"/>
    <w:tmpl w:val="6ECC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2362F"/>
    <w:multiLevelType w:val="hybridMultilevel"/>
    <w:tmpl w:val="E85C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6375F"/>
    <w:multiLevelType w:val="hybridMultilevel"/>
    <w:tmpl w:val="F96653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B7351F2"/>
    <w:multiLevelType w:val="hybridMultilevel"/>
    <w:tmpl w:val="FBDC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805B0"/>
    <w:multiLevelType w:val="hybridMultilevel"/>
    <w:tmpl w:val="DBFE36F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414FB"/>
    <w:multiLevelType w:val="hybridMultilevel"/>
    <w:tmpl w:val="0EEAABC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C12DD"/>
    <w:multiLevelType w:val="hybridMultilevel"/>
    <w:tmpl w:val="D3CCE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4E74AB"/>
    <w:multiLevelType w:val="hybridMultilevel"/>
    <w:tmpl w:val="21F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11D4C"/>
    <w:multiLevelType w:val="hybridMultilevel"/>
    <w:tmpl w:val="8EF4BB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051CB1"/>
    <w:multiLevelType w:val="hybridMultilevel"/>
    <w:tmpl w:val="D6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B4063"/>
    <w:multiLevelType w:val="hybridMultilevel"/>
    <w:tmpl w:val="A80E93BE"/>
    <w:lvl w:ilvl="0" w:tplc="EFEE1038">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62BD7"/>
    <w:multiLevelType w:val="hybridMultilevel"/>
    <w:tmpl w:val="2BBA07B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25541C"/>
    <w:multiLevelType w:val="hybridMultilevel"/>
    <w:tmpl w:val="DA18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5165D"/>
    <w:multiLevelType w:val="hybridMultilevel"/>
    <w:tmpl w:val="53DA5F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728046F"/>
    <w:multiLevelType w:val="hybridMultilevel"/>
    <w:tmpl w:val="95BA98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8372B93"/>
    <w:multiLevelType w:val="hybridMultilevel"/>
    <w:tmpl w:val="C0AE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558AF"/>
    <w:multiLevelType w:val="hybridMultilevel"/>
    <w:tmpl w:val="10D6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130134">
    <w:abstractNumId w:val="10"/>
  </w:num>
  <w:num w:numId="2" w16cid:durableId="530995023">
    <w:abstractNumId w:val="18"/>
  </w:num>
  <w:num w:numId="3" w16cid:durableId="1932084026">
    <w:abstractNumId w:val="26"/>
  </w:num>
  <w:num w:numId="4" w16cid:durableId="1630746858">
    <w:abstractNumId w:val="11"/>
  </w:num>
  <w:num w:numId="5" w16cid:durableId="1329364918">
    <w:abstractNumId w:val="25"/>
  </w:num>
  <w:num w:numId="6" w16cid:durableId="1584413033">
    <w:abstractNumId w:val="14"/>
  </w:num>
  <w:num w:numId="7" w16cid:durableId="294264255">
    <w:abstractNumId w:val="32"/>
  </w:num>
  <w:num w:numId="8" w16cid:durableId="190653118">
    <w:abstractNumId w:val="1"/>
  </w:num>
  <w:num w:numId="9" w16cid:durableId="322240664">
    <w:abstractNumId w:val="37"/>
  </w:num>
  <w:num w:numId="10" w16cid:durableId="182475806">
    <w:abstractNumId w:val="12"/>
  </w:num>
  <w:num w:numId="11" w16cid:durableId="893153229">
    <w:abstractNumId w:val="33"/>
  </w:num>
  <w:num w:numId="12" w16cid:durableId="1180005593">
    <w:abstractNumId w:val="4"/>
  </w:num>
  <w:num w:numId="13" w16cid:durableId="1276867634">
    <w:abstractNumId w:val="34"/>
  </w:num>
  <w:num w:numId="14" w16cid:durableId="1435126479">
    <w:abstractNumId w:val="16"/>
  </w:num>
  <w:num w:numId="15" w16cid:durableId="292833863">
    <w:abstractNumId w:val="28"/>
  </w:num>
  <w:num w:numId="16" w16cid:durableId="1068187739">
    <w:abstractNumId w:val="9"/>
  </w:num>
  <w:num w:numId="17" w16cid:durableId="40831095">
    <w:abstractNumId w:val="6"/>
  </w:num>
  <w:num w:numId="18" w16cid:durableId="1156804974">
    <w:abstractNumId w:val="31"/>
  </w:num>
  <w:num w:numId="19" w16cid:durableId="2095279349">
    <w:abstractNumId w:val="15"/>
  </w:num>
  <w:num w:numId="20" w16cid:durableId="353843024">
    <w:abstractNumId w:val="29"/>
  </w:num>
  <w:num w:numId="21" w16cid:durableId="198250018">
    <w:abstractNumId w:val="7"/>
  </w:num>
  <w:num w:numId="22" w16cid:durableId="1011296549">
    <w:abstractNumId w:val="8"/>
  </w:num>
  <w:num w:numId="23" w16cid:durableId="1811702472">
    <w:abstractNumId w:val="30"/>
  </w:num>
  <w:num w:numId="24" w16cid:durableId="198713893">
    <w:abstractNumId w:val="5"/>
  </w:num>
  <w:num w:numId="25" w16cid:durableId="792940751">
    <w:abstractNumId w:val="24"/>
  </w:num>
  <w:num w:numId="26" w16cid:durableId="1678658523">
    <w:abstractNumId w:val="21"/>
  </w:num>
  <w:num w:numId="27" w16cid:durableId="1214463209">
    <w:abstractNumId w:val="3"/>
  </w:num>
  <w:num w:numId="28" w16cid:durableId="555432980">
    <w:abstractNumId w:val="0"/>
  </w:num>
  <w:num w:numId="29" w16cid:durableId="2073501645">
    <w:abstractNumId w:val="13"/>
  </w:num>
  <w:num w:numId="30" w16cid:durableId="938175801">
    <w:abstractNumId w:val="35"/>
  </w:num>
  <w:num w:numId="31" w16cid:durableId="2029791609">
    <w:abstractNumId w:val="27"/>
  </w:num>
  <w:num w:numId="32" w16cid:durableId="280769857">
    <w:abstractNumId w:val="22"/>
  </w:num>
  <w:num w:numId="33" w16cid:durableId="703865744">
    <w:abstractNumId w:val="36"/>
  </w:num>
  <w:num w:numId="34" w16cid:durableId="2048599380">
    <w:abstractNumId w:val="23"/>
  </w:num>
  <w:num w:numId="35" w16cid:durableId="256867044">
    <w:abstractNumId w:val="19"/>
  </w:num>
  <w:num w:numId="36" w16cid:durableId="1522548996">
    <w:abstractNumId w:val="2"/>
  </w:num>
  <w:num w:numId="37" w16cid:durableId="1810367722">
    <w:abstractNumId w:val="17"/>
  </w:num>
  <w:num w:numId="38" w16cid:durableId="16453505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60"/>
    <w:rsid w:val="00082793"/>
    <w:rsid w:val="00094FFE"/>
    <w:rsid w:val="00361B59"/>
    <w:rsid w:val="003D3B60"/>
    <w:rsid w:val="004576DE"/>
    <w:rsid w:val="00460234"/>
    <w:rsid w:val="00497397"/>
    <w:rsid w:val="0056764D"/>
    <w:rsid w:val="00576781"/>
    <w:rsid w:val="005812A4"/>
    <w:rsid w:val="007E31BC"/>
    <w:rsid w:val="00935B90"/>
    <w:rsid w:val="00A82111"/>
    <w:rsid w:val="00AA4A75"/>
    <w:rsid w:val="00AB00FD"/>
    <w:rsid w:val="00AF4965"/>
    <w:rsid w:val="00D16F0B"/>
    <w:rsid w:val="00DE6639"/>
    <w:rsid w:val="00E8308F"/>
    <w:rsid w:val="00F9755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1CC1"/>
  <w15:chartTrackingRefBased/>
  <w15:docId w15:val="{AFFAD5C6-D62B-C44D-9502-5F10DCF7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B60"/>
    <w:rPr>
      <w:rFonts w:eastAsiaTheme="majorEastAsia" w:cstheme="majorBidi"/>
      <w:color w:val="272727" w:themeColor="text1" w:themeTint="D8"/>
    </w:rPr>
  </w:style>
  <w:style w:type="paragraph" w:styleId="Title">
    <w:name w:val="Title"/>
    <w:basedOn w:val="Normal"/>
    <w:next w:val="Normal"/>
    <w:link w:val="TitleChar"/>
    <w:uiPriority w:val="10"/>
    <w:qFormat/>
    <w:rsid w:val="003D3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B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B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B60"/>
    <w:rPr>
      <w:i/>
      <w:iCs/>
      <w:color w:val="404040" w:themeColor="text1" w:themeTint="BF"/>
    </w:rPr>
  </w:style>
  <w:style w:type="paragraph" w:styleId="ListParagraph">
    <w:name w:val="List Paragraph"/>
    <w:basedOn w:val="Normal"/>
    <w:uiPriority w:val="34"/>
    <w:qFormat/>
    <w:rsid w:val="003D3B60"/>
    <w:pPr>
      <w:ind w:left="720"/>
      <w:contextualSpacing/>
    </w:pPr>
  </w:style>
  <w:style w:type="character" w:styleId="IntenseEmphasis">
    <w:name w:val="Intense Emphasis"/>
    <w:basedOn w:val="DefaultParagraphFont"/>
    <w:uiPriority w:val="21"/>
    <w:qFormat/>
    <w:rsid w:val="003D3B60"/>
    <w:rPr>
      <w:i/>
      <w:iCs/>
      <w:color w:val="2F5496" w:themeColor="accent1" w:themeShade="BF"/>
    </w:rPr>
  </w:style>
  <w:style w:type="paragraph" w:styleId="IntenseQuote">
    <w:name w:val="Intense Quote"/>
    <w:basedOn w:val="Normal"/>
    <w:next w:val="Normal"/>
    <w:link w:val="IntenseQuoteChar"/>
    <w:uiPriority w:val="30"/>
    <w:qFormat/>
    <w:rsid w:val="003D3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B60"/>
    <w:rPr>
      <w:i/>
      <w:iCs/>
      <w:color w:val="2F5496" w:themeColor="accent1" w:themeShade="BF"/>
    </w:rPr>
  </w:style>
  <w:style w:type="character" w:styleId="IntenseReference">
    <w:name w:val="Intense Reference"/>
    <w:basedOn w:val="DefaultParagraphFont"/>
    <w:uiPriority w:val="32"/>
    <w:qFormat/>
    <w:rsid w:val="003D3B60"/>
    <w:rPr>
      <w:b/>
      <w:bCs/>
      <w:smallCaps/>
      <w:color w:val="2F5496" w:themeColor="accent1" w:themeShade="BF"/>
      <w:spacing w:val="5"/>
    </w:rPr>
  </w:style>
  <w:style w:type="paragraph" w:styleId="NormalWeb">
    <w:name w:val="Normal (Web)"/>
    <w:basedOn w:val="Normal"/>
    <w:uiPriority w:val="99"/>
    <w:semiHidden/>
    <w:unhideWhenUsed/>
    <w:rsid w:val="0057678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76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Hoi</dc:creator>
  <cp:keywords/>
  <dc:description/>
  <cp:lastModifiedBy>Trinh Hoi</cp:lastModifiedBy>
  <cp:revision>5</cp:revision>
  <dcterms:created xsi:type="dcterms:W3CDTF">2026-03-21T14:11:00Z</dcterms:created>
  <dcterms:modified xsi:type="dcterms:W3CDTF">2026-03-23T08:13:00Z</dcterms:modified>
</cp:coreProperties>
</file>