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ABAD3" w14:textId="7D4401E7" w:rsidR="000D2861" w:rsidRDefault="0077645F" w:rsidP="0077645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383032">
        <w:rPr>
          <w:noProof/>
        </w:rPr>
        <w:drawing>
          <wp:anchor distT="0" distB="0" distL="114300" distR="114300" simplePos="0" relativeHeight="251658240" behindDoc="0" locked="0" layoutInCell="1" allowOverlap="1" wp14:anchorId="26282F7B" wp14:editId="09CD349C">
            <wp:simplePos x="0" y="0"/>
            <wp:positionH relativeFrom="margin">
              <wp:posOffset>4686935</wp:posOffset>
            </wp:positionH>
            <wp:positionV relativeFrom="page">
              <wp:posOffset>247650</wp:posOffset>
            </wp:positionV>
            <wp:extent cx="1241425" cy="1214755"/>
            <wp:effectExtent l="0" t="0" r="0" b="4445"/>
            <wp:wrapTopAndBottom/>
            <wp:docPr id="1872563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6349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61" w:rsidRPr="000D2861">
        <w:rPr>
          <w:rFonts w:ascii="Times New Roman" w:hAnsi="Times New Roman" w:cs="Times New Roman"/>
          <w:b/>
          <w:bCs/>
        </w:rPr>
        <w:t>Examiner reliability and scoring governance in</w:t>
      </w:r>
    </w:p>
    <w:p w14:paraId="028E2312" w14:textId="1F21F734" w:rsidR="00540805" w:rsidRPr="000D2861" w:rsidRDefault="000D2861" w:rsidP="000D286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the NOCN ESOL International examination</w:t>
      </w:r>
    </w:p>
    <w:p w14:paraId="21E42B1A" w14:textId="1DB3637A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9565BD0" w14:textId="6FD22B90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Abstract</w:t>
      </w:r>
      <w:bookmarkStart w:id="0" w:name="_GoBack"/>
      <w:bookmarkEnd w:id="0"/>
    </w:p>
    <w:p w14:paraId="40164B18" w14:textId="703BC04A" w:rsidR="000D2861" w:rsidRDefault="000D2861" w:rsidP="00EF621C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 xml:space="preserve">This report aims to show the inter-rater reliability data and the governance structure for the scores. This data was collected on the NOCN ESOL International Speaking exam at the B2 and C1 levels. All </w:t>
      </w:r>
      <w:r w:rsidR="00003CC2">
        <w:rPr>
          <w:rFonts w:ascii="Times New Roman" w:hAnsi="Times New Roman" w:cs="Times New Roman"/>
        </w:rPr>
        <w:t>90</w:t>
      </w:r>
      <w:r w:rsidRPr="000D2861">
        <w:rPr>
          <w:rFonts w:ascii="Times New Roman" w:hAnsi="Times New Roman" w:cs="Times New Roman"/>
        </w:rPr>
        <w:t xml:space="preserve"> candidates in the data set were given a 33-point scale to evaluate their performance. The passing score was 17. The data shows a high level of inter-rater reliability, with only a small difference in scores (ICC = 0.86), showing that most scores were only one point apart. This shows a strong system in place to standardize the examiners and their quality.</w:t>
      </w:r>
    </w:p>
    <w:p w14:paraId="324BC0C5" w14:textId="35628952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1. Purpose</w:t>
      </w:r>
    </w:p>
    <w:p w14:paraId="1F2F125F" w14:textId="7F58C383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This report is intended to give evidence on the following issues:</w:t>
      </w:r>
    </w:p>
    <w:p w14:paraId="6BE080F4" w14:textId="77D2B25C" w:rsidR="000D2861" w:rsidRPr="000D2861" w:rsidRDefault="000D2861" w:rsidP="00EF621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Inter-rater reliability in the assessment of Speaking</w:t>
      </w:r>
    </w:p>
    <w:p w14:paraId="1EC0048F" w14:textId="6DD3B0AA" w:rsidR="000D2861" w:rsidRPr="000D2861" w:rsidRDefault="000D2861" w:rsidP="00EF621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Consistency level among examiners</w:t>
      </w:r>
    </w:p>
    <w:p w14:paraId="477B956D" w14:textId="277CD57A" w:rsidR="000D2861" w:rsidRPr="000D2861" w:rsidRDefault="000D2861" w:rsidP="00EF621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Governance and quality assurance in the marking of the NOCN ESOL International examination</w:t>
      </w:r>
    </w:p>
    <w:p w14:paraId="50815875" w14:textId="0570AEC5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 xml:space="preserve">This analysis is conducted on the basis of </w:t>
      </w:r>
      <w:r w:rsidR="00003CC2">
        <w:rPr>
          <w:rFonts w:ascii="Times New Roman" w:hAnsi="Times New Roman" w:cs="Times New Roman"/>
        </w:rPr>
        <w:t>90</w:t>
      </w:r>
      <w:r w:rsidRPr="000D2861">
        <w:rPr>
          <w:rFonts w:ascii="Times New Roman" w:hAnsi="Times New Roman" w:cs="Times New Roman"/>
        </w:rPr>
        <w:t xml:space="preserve"> candidates, at B2 and C1 levels, where independent examiner marking is used.</w:t>
      </w:r>
      <w:r w:rsidR="001D73A8" w:rsidRPr="001D73A8">
        <w:rPr>
          <w:noProof/>
        </w:rPr>
        <w:t xml:space="preserve"> </w:t>
      </w:r>
    </w:p>
    <w:p w14:paraId="30032A1C" w14:textId="77777777" w:rsidR="00EF621C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2. Methodology</w:t>
      </w:r>
    </w:p>
    <w:p w14:paraId="517B078E" w14:textId="75CF6283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2.1. Data</w:t>
      </w:r>
    </w:p>
    <w:p w14:paraId="77DDC0CD" w14:textId="77777777" w:rsidR="000D2861" w:rsidRPr="000D2861" w:rsidRDefault="000D2861" w:rsidP="00A85C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Total number of candidates:</w:t>
      </w:r>
      <w:r w:rsidR="00003CC2">
        <w:rPr>
          <w:rFonts w:ascii="Times New Roman" w:hAnsi="Times New Roman" w:cs="Times New Roman"/>
        </w:rPr>
        <w:t xml:space="preserve"> 90</w:t>
      </w:r>
    </w:p>
    <w:p w14:paraId="113A8019" w14:textId="77777777" w:rsidR="000D2861" w:rsidRPr="000D2861" w:rsidRDefault="000D2861" w:rsidP="00A85C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Skill analyzed: Speaking</w:t>
      </w:r>
    </w:p>
    <w:p w14:paraId="0C50E9DF" w14:textId="77777777" w:rsidR="000D2861" w:rsidRPr="000D2861" w:rsidRDefault="000D2861" w:rsidP="00A85C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lastRenderedPageBreak/>
        <w:t>Levels: B2, C1</w:t>
      </w:r>
    </w:p>
    <w:p w14:paraId="1728B8A0" w14:textId="77777777" w:rsidR="000D2861" w:rsidRPr="000D2861" w:rsidRDefault="000D2861" w:rsidP="00A85C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Scoring scale: 0 to 33</w:t>
      </w:r>
    </w:p>
    <w:p w14:paraId="103F96D6" w14:textId="77777777" w:rsidR="000D2861" w:rsidRPr="000D2861" w:rsidRDefault="000D2861" w:rsidP="00A85C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Pass threshold: 17</w:t>
      </w:r>
    </w:p>
    <w:p w14:paraId="408047A4" w14:textId="39A0C022" w:rsidR="000D2861" w:rsidRPr="00EF621C" w:rsidRDefault="000D2861" w:rsidP="000D286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100 percent scripts were double marked</w:t>
      </w:r>
    </w:p>
    <w:p w14:paraId="14493652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 xml:space="preserve">2.2. Analytical </w:t>
      </w:r>
      <w:r>
        <w:rPr>
          <w:rFonts w:ascii="Times New Roman" w:hAnsi="Times New Roman" w:cs="Times New Roman"/>
          <w:b/>
          <w:bCs/>
        </w:rPr>
        <w:t>m</w:t>
      </w:r>
      <w:r w:rsidRPr="000D2861">
        <w:rPr>
          <w:rFonts w:ascii="Times New Roman" w:hAnsi="Times New Roman" w:cs="Times New Roman"/>
          <w:b/>
          <w:bCs/>
        </w:rPr>
        <w:t>easures</w:t>
      </w:r>
    </w:p>
    <w:p w14:paraId="57B5B62A" w14:textId="77777777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The main analytical measures are as follows:</w:t>
      </w:r>
    </w:p>
    <w:p w14:paraId="711A42F2" w14:textId="77777777" w:rsidR="000D2861" w:rsidRPr="000D2861" w:rsidRDefault="000D2861" w:rsidP="00EF621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Intraclass Correlation Coefficient (ICC) to check inter-rater consistency,</w:t>
      </w:r>
    </w:p>
    <w:p w14:paraId="17872804" w14:textId="77777777" w:rsidR="000D2861" w:rsidRPr="000D2861" w:rsidRDefault="000D2861" w:rsidP="00EF621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Score difference analysis to check the degree of scoring differences,</w:t>
      </w:r>
    </w:p>
    <w:p w14:paraId="3716DCB9" w14:textId="77777777" w:rsidR="000D2861" w:rsidRPr="000D2861" w:rsidRDefault="000D2861" w:rsidP="00EF621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Examiner performance tracking using score distribution and marking volume,</w:t>
      </w:r>
    </w:p>
    <w:p w14:paraId="031E72B0" w14:textId="77777777" w:rsidR="000D2861" w:rsidRPr="000D2861" w:rsidRDefault="000D2861" w:rsidP="00EF621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Compliance with standardisation percentage to check qualification among examiners.</w:t>
      </w:r>
    </w:p>
    <w:p w14:paraId="3F23E957" w14:textId="6B401B4A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 xml:space="preserve">The reason for </w:t>
      </w:r>
      <w:r w:rsidRPr="000162D8">
        <w:rPr>
          <w:rFonts w:ascii="Times New Roman" w:hAnsi="Times New Roman" w:cs="Times New Roman"/>
          <w:i/>
          <w:iCs/>
        </w:rPr>
        <w:t>using ICC is that it is applicable</w:t>
      </w:r>
      <w:r w:rsidRPr="000D2861">
        <w:rPr>
          <w:rFonts w:ascii="Times New Roman" w:hAnsi="Times New Roman" w:cs="Times New Roman"/>
        </w:rPr>
        <w:t xml:space="preserve"> to continuous data, which is often recommended for reliability analysis (Koo &amp; Li, 2016).</w:t>
      </w:r>
    </w:p>
    <w:p w14:paraId="5FBB7C61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3. Results</w:t>
      </w:r>
    </w:p>
    <w:p w14:paraId="369F83E9" w14:textId="77777777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3.1. Inter-</w:t>
      </w:r>
      <w:r>
        <w:rPr>
          <w:rFonts w:ascii="Times New Roman" w:hAnsi="Times New Roman" w:cs="Times New Roman"/>
          <w:b/>
          <w:bCs/>
        </w:rPr>
        <w:t>r</w:t>
      </w:r>
      <w:r w:rsidRPr="000D2861">
        <w:rPr>
          <w:rFonts w:ascii="Times New Roman" w:hAnsi="Times New Roman" w:cs="Times New Roman"/>
          <w:b/>
          <w:bCs/>
        </w:rPr>
        <w:t xml:space="preserve">ater </w:t>
      </w:r>
      <w:r>
        <w:rPr>
          <w:rFonts w:ascii="Times New Roman" w:hAnsi="Times New Roman" w:cs="Times New Roman"/>
          <w:b/>
          <w:bCs/>
        </w:rPr>
        <w:t>r</w:t>
      </w:r>
      <w:r w:rsidRPr="000D2861">
        <w:rPr>
          <w:rFonts w:ascii="Times New Roman" w:hAnsi="Times New Roman" w:cs="Times New Roman"/>
          <w:b/>
          <w:bCs/>
        </w:rPr>
        <w:t>eliability</w:t>
      </w:r>
    </w:p>
    <w:p w14:paraId="20943FFD" w14:textId="77777777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ICC = 0.86</w:t>
      </w:r>
    </w:p>
    <w:p w14:paraId="086D1F5D" w14:textId="508B4993" w:rsid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As Koo &amp; Li (2016) suggest, this value shows that there is good reliability since there is a high degree of consistency among examiners for the Speaking test.</w:t>
      </w:r>
    </w:p>
    <w:p w14:paraId="5D58EAC1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3.2. Score discrepancy between examiners</w:t>
      </w:r>
    </w:p>
    <w:p w14:paraId="3732E241" w14:textId="77777777" w:rsidR="000D2861" w:rsidRPr="000D2861" w:rsidRDefault="000D2861" w:rsidP="00EF621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The mean difference is 0.6 points,</w:t>
      </w:r>
    </w:p>
    <w:p w14:paraId="361E9FEC" w14:textId="77777777" w:rsidR="000D2861" w:rsidRPr="000D2861" w:rsidRDefault="000D2861" w:rsidP="00EF621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82% scripts show a difference of ≤ 1 point,</w:t>
      </w:r>
    </w:p>
    <w:p w14:paraId="4FE9DF13" w14:textId="77777777" w:rsidR="000D2861" w:rsidRPr="000D2861" w:rsidRDefault="000D2861" w:rsidP="00EF621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6% scripts show a difference of ≥ 2 points.</w:t>
      </w:r>
    </w:p>
    <w:p w14:paraId="5A1FBA89" w14:textId="77777777" w:rsid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The results show that most examiners are consistent with only a few showing a difference within acceptable limits for language tests (Brown &amp; Abeywickrama, 2019).</w:t>
      </w:r>
    </w:p>
    <w:p w14:paraId="0E44036C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243FE0E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3.3. Pass/Fail outcomes</w:t>
      </w:r>
    </w:p>
    <w:p w14:paraId="65764549" w14:textId="77777777" w:rsidR="000D2861" w:rsidRPr="000D2861" w:rsidRDefault="000D2861" w:rsidP="00EF621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Pass threshold: 17/33</w:t>
      </w:r>
    </w:p>
    <w:p w14:paraId="054CF86F" w14:textId="77777777" w:rsidR="000D2861" w:rsidRPr="000D2861" w:rsidRDefault="000D2861" w:rsidP="00EF621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Score distribution is appropriate for B2 and C1 candidates</w:t>
      </w:r>
    </w:p>
    <w:p w14:paraId="74E377EA" w14:textId="77777777" w:rsidR="000D2861" w:rsidRPr="000D2861" w:rsidRDefault="000D2861" w:rsidP="00EF621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No abnormal score distribution patterns were found</w:t>
      </w:r>
    </w:p>
    <w:p w14:paraId="188AF326" w14:textId="2A38BEDE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From this, it can be concluded that there are no signs of bias within the scoring system, either towards being too lenient or too severe.</w:t>
      </w:r>
    </w:p>
    <w:p w14:paraId="259EB3DA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 xml:space="preserve">3.4. Examiner </w:t>
      </w:r>
      <w:r>
        <w:rPr>
          <w:rFonts w:ascii="Times New Roman" w:hAnsi="Times New Roman" w:cs="Times New Roman"/>
          <w:b/>
          <w:bCs/>
        </w:rPr>
        <w:t>p</w:t>
      </w:r>
      <w:r w:rsidRPr="000D2861">
        <w:rPr>
          <w:rFonts w:ascii="Times New Roman" w:hAnsi="Times New Roman" w:cs="Times New Roman"/>
          <w:b/>
          <w:bCs/>
        </w:rPr>
        <w:t>erformance</w:t>
      </w:r>
    </w:p>
    <w:p w14:paraId="54666AC4" w14:textId="77777777" w:rsidR="000D2861" w:rsidRPr="000D2861" w:rsidRDefault="000D2861" w:rsidP="00EF621C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Examiners' number: 10-15 people</w:t>
      </w:r>
    </w:p>
    <w:p w14:paraId="781AC05C" w14:textId="77777777" w:rsidR="000D2861" w:rsidRPr="000D2861" w:rsidRDefault="000D2861" w:rsidP="00EF621C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Examiners' workload distribution: relatively balanced</w:t>
      </w:r>
    </w:p>
    <w:p w14:paraId="38A4E5D3" w14:textId="0C3A0DE5" w:rsidR="000D2861" w:rsidRPr="00EF621C" w:rsidRDefault="000D2861" w:rsidP="000D286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No signs of systematic bias of examiners</w:t>
      </w:r>
    </w:p>
    <w:p w14:paraId="29119915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3.5. Examiner qualification rate</w:t>
      </w:r>
    </w:p>
    <w:p w14:paraId="232A94C5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100% of the examiners:</w:t>
      </w:r>
    </w:p>
    <w:p w14:paraId="339A10C0" w14:textId="77777777" w:rsidR="000D2861" w:rsidRPr="000D2861" w:rsidRDefault="000D2861" w:rsidP="00A85CA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Completed training</w:t>
      </w:r>
    </w:p>
    <w:p w14:paraId="38815EA8" w14:textId="77777777" w:rsidR="000D2861" w:rsidRPr="000D2861" w:rsidRDefault="000D2861" w:rsidP="00A85CA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Passed standardisation</w:t>
      </w:r>
    </w:p>
    <w:p w14:paraId="561922C1" w14:textId="77777777" w:rsidR="000D2861" w:rsidRDefault="000D2861" w:rsidP="00A85CA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Were certified before marking</w:t>
      </w:r>
    </w:p>
    <w:p w14:paraId="1D572A25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 xml:space="preserve">4. Scoring </w:t>
      </w:r>
      <w:r>
        <w:rPr>
          <w:rFonts w:ascii="Times New Roman" w:hAnsi="Times New Roman" w:cs="Times New Roman"/>
          <w:b/>
          <w:bCs/>
        </w:rPr>
        <w:t>g</w:t>
      </w:r>
      <w:r w:rsidRPr="000D2861">
        <w:rPr>
          <w:rFonts w:ascii="Times New Roman" w:hAnsi="Times New Roman" w:cs="Times New Roman"/>
          <w:b/>
          <w:bCs/>
        </w:rPr>
        <w:t xml:space="preserve">overnance </w:t>
      </w:r>
      <w:r>
        <w:rPr>
          <w:rFonts w:ascii="Times New Roman" w:hAnsi="Times New Roman" w:cs="Times New Roman"/>
          <w:b/>
          <w:bCs/>
        </w:rPr>
        <w:t>f</w:t>
      </w:r>
      <w:r w:rsidRPr="000D2861">
        <w:rPr>
          <w:rFonts w:ascii="Times New Roman" w:hAnsi="Times New Roman" w:cs="Times New Roman"/>
          <w:b/>
          <w:bCs/>
        </w:rPr>
        <w:t>ramework</w:t>
      </w:r>
    </w:p>
    <w:p w14:paraId="33F893BA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 xml:space="preserve">4.1. Purpose of the </w:t>
      </w:r>
      <w:r>
        <w:rPr>
          <w:rFonts w:ascii="Times New Roman" w:hAnsi="Times New Roman" w:cs="Times New Roman"/>
          <w:b/>
          <w:bCs/>
        </w:rPr>
        <w:t>s</w:t>
      </w:r>
      <w:r w:rsidRPr="000D2861">
        <w:rPr>
          <w:rFonts w:ascii="Times New Roman" w:hAnsi="Times New Roman" w:cs="Times New Roman"/>
          <w:b/>
          <w:bCs/>
        </w:rPr>
        <w:t xml:space="preserve">coring </w:t>
      </w:r>
      <w:r>
        <w:rPr>
          <w:rFonts w:ascii="Times New Roman" w:hAnsi="Times New Roman" w:cs="Times New Roman"/>
          <w:b/>
          <w:bCs/>
        </w:rPr>
        <w:t>g</w:t>
      </w:r>
      <w:r w:rsidRPr="000D2861">
        <w:rPr>
          <w:rFonts w:ascii="Times New Roman" w:hAnsi="Times New Roman" w:cs="Times New Roman"/>
          <w:b/>
          <w:bCs/>
        </w:rPr>
        <w:t xml:space="preserve">overnance </w:t>
      </w:r>
      <w:r>
        <w:rPr>
          <w:rFonts w:ascii="Times New Roman" w:hAnsi="Times New Roman" w:cs="Times New Roman"/>
          <w:b/>
          <w:bCs/>
        </w:rPr>
        <w:t>f</w:t>
      </w:r>
      <w:r w:rsidRPr="000D2861">
        <w:rPr>
          <w:rFonts w:ascii="Times New Roman" w:hAnsi="Times New Roman" w:cs="Times New Roman"/>
          <w:b/>
          <w:bCs/>
        </w:rPr>
        <w:t>ramework</w:t>
      </w:r>
    </w:p>
    <w:p w14:paraId="62480895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The scoring governance framework is set up to ensure:</w:t>
      </w:r>
    </w:p>
    <w:p w14:paraId="007E16F2" w14:textId="77777777" w:rsidR="000D2861" w:rsidRPr="000D2861" w:rsidRDefault="000D2861" w:rsidP="00A85CA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Objectivity in assessment</w:t>
      </w:r>
    </w:p>
    <w:p w14:paraId="0042FB17" w14:textId="77777777" w:rsidR="000D2861" w:rsidRPr="000D2861" w:rsidRDefault="000D2861" w:rsidP="00A85CA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Consistency across examiners</w:t>
      </w:r>
    </w:p>
    <w:p w14:paraId="24A7452D" w14:textId="77777777" w:rsidR="000D2861" w:rsidRPr="000D2861" w:rsidRDefault="000D2861" w:rsidP="00A85CA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Fairness to all candidates</w:t>
      </w:r>
    </w:p>
    <w:p w14:paraId="40158794" w14:textId="77777777" w:rsidR="000D2861" w:rsidRPr="000D2861" w:rsidRDefault="000D2861" w:rsidP="00A85CA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Reliability in the results</w:t>
      </w:r>
    </w:p>
    <w:p w14:paraId="1A2E8253" w14:textId="3318823C" w:rsidR="000D2861" w:rsidRPr="000D2861" w:rsidRDefault="000D2861" w:rsidP="000D2861">
      <w:p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lastRenderedPageBreak/>
        <w:t>This is particularly important in the case of subjective skills like Speaking.</w:t>
      </w:r>
    </w:p>
    <w:p w14:paraId="054A76F5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4.2. Core principles</w:t>
      </w:r>
    </w:p>
    <w:p w14:paraId="14C24F73" w14:textId="77777777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The scoring governance framework is underpinned by:</w:t>
      </w:r>
    </w:p>
    <w:p w14:paraId="7D6EBC53" w14:textId="77777777" w:rsidR="000D2861" w:rsidRPr="000D2861" w:rsidRDefault="000D2861" w:rsidP="00EF621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Pre-standardisation</w:t>
      </w:r>
    </w:p>
    <w:p w14:paraId="1C3BBC48" w14:textId="77777777" w:rsidR="000D2861" w:rsidRPr="000D2861" w:rsidRDefault="000D2861" w:rsidP="00EF621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Real-time monitoring</w:t>
      </w:r>
    </w:p>
    <w:p w14:paraId="3AB2E103" w14:textId="77777777" w:rsidR="000D2861" w:rsidRPr="000D2861" w:rsidRDefault="000D2861" w:rsidP="00EF621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Double marking and moderation</w:t>
      </w:r>
    </w:p>
    <w:p w14:paraId="7B6EF52C" w14:textId="77777777" w:rsidR="000D2861" w:rsidRPr="000D2861" w:rsidRDefault="000D2861" w:rsidP="00EF621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Post-marking review</w:t>
      </w:r>
    </w:p>
    <w:p w14:paraId="76B97B19" w14:textId="02765C41" w:rsidR="000D2861" w:rsidRPr="00EF621C" w:rsidRDefault="000D2861" w:rsidP="00EF621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Continuous quality improvement</w:t>
      </w:r>
    </w:p>
    <w:p w14:paraId="44B474F4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 xml:space="preserve">4.3. Scoring </w:t>
      </w:r>
      <w:r>
        <w:rPr>
          <w:rFonts w:ascii="Times New Roman" w:hAnsi="Times New Roman" w:cs="Times New Roman"/>
          <w:b/>
          <w:bCs/>
        </w:rPr>
        <w:t>g</w:t>
      </w:r>
      <w:r w:rsidRPr="000D2861">
        <w:rPr>
          <w:rFonts w:ascii="Times New Roman" w:hAnsi="Times New Roman" w:cs="Times New Roman"/>
          <w:b/>
          <w:bCs/>
        </w:rPr>
        <w:t xml:space="preserve">overnance </w:t>
      </w:r>
      <w:r>
        <w:rPr>
          <w:rFonts w:ascii="Times New Roman" w:hAnsi="Times New Roman" w:cs="Times New Roman"/>
          <w:b/>
          <w:bCs/>
        </w:rPr>
        <w:t>p</w:t>
      </w:r>
      <w:r w:rsidRPr="000D2861">
        <w:rPr>
          <w:rFonts w:ascii="Times New Roman" w:hAnsi="Times New Roman" w:cs="Times New Roman"/>
          <w:b/>
          <w:bCs/>
        </w:rPr>
        <w:t>rocess</w:t>
      </w:r>
    </w:p>
    <w:p w14:paraId="59F78CAE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 xml:space="preserve">4.3.1. Examiner </w:t>
      </w:r>
      <w:r>
        <w:rPr>
          <w:rFonts w:ascii="Times New Roman" w:hAnsi="Times New Roman" w:cs="Times New Roman"/>
          <w:b/>
          <w:bCs/>
        </w:rPr>
        <w:t>r</w:t>
      </w:r>
      <w:r w:rsidRPr="000D2861">
        <w:rPr>
          <w:rFonts w:ascii="Times New Roman" w:hAnsi="Times New Roman" w:cs="Times New Roman"/>
          <w:b/>
          <w:bCs/>
        </w:rPr>
        <w:t>ecruitment</w:t>
      </w:r>
    </w:p>
    <w:p w14:paraId="08DCD977" w14:textId="77777777" w:rsidR="000D2861" w:rsidRPr="000D2861" w:rsidRDefault="000D2861" w:rsidP="00EF621C">
      <w:p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Examiners are recruited on the basis of:</w:t>
      </w:r>
    </w:p>
    <w:p w14:paraId="1B8F4D13" w14:textId="77777777" w:rsidR="000D2861" w:rsidRPr="000D2861" w:rsidRDefault="000D2861" w:rsidP="00EF621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Language proficiency (typically CEFR C1 or above)</w:t>
      </w:r>
    </w:p>
    <w:p w14:paraId="638C9722" w14:textId="77777777" w:rsidR="000D2861" w:rsidRPr="000D2861" w:rsidRDefault="000D2861" w:rsidP="00EF621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Teaching or assessment experience</w:t>
      </w:r>
    </w:p>
    <w:p w14:paraId="238EED43" w14:textId="77777777" w:rsidR="000D2861" w:rsidRDefault="000D2861" w:rsidP="00EF621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Understanding of scoring rubrics</w:t>
      </w:r>
    </w:p>
    <w:p w14:paraId="18B8DE8E" w14:textId="496FAC46" w:rsidR="000D2861" w:rsidRPr="00EF621C" w:rsidRDefault="000D2861" w:rsidP="000D2861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All examiners have to pass a screening exercise before they receive any training.</w:t>
      </w:r>
    </w:p>
    <w:p w14:paraId="073E9C58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</w:rPr>
      </w:pPr>
      <w:r w:rsidRPr="000D2861">
        <w:rPr>
          <w:rFonts w:ascii="Times New Roman" w:hAnsi="Times New Roman" w:cs="Times New Roman"/>
          <w:b/>
          <w:bCs/>
        </w:rPr>
        <w:t>4.3.2. Training and certification</w:t>
      </w:r>
    </w:p>
    <w:p w14:paraId="08009CA3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Before marking, examiners have to:</w:t>
      </w:r>
    </w:p>
    <w:p w14:paraId="1A85C354" w14:textId="77777777" w:rsidR="000D2861" w:rsidRPr="000D2861" w:rsidRDefault="000D2861" w:rsidP="00A85CA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Receive formal training</w:t>
      </w:r>
    </w:p>
    <w:p w14:paraId="18A32424" w14:textId="77777777" w:rsidR="000D2861" w:rsidRPr="000D2861" w:rsidRDefault="000D2861" w:rsidP="00A85CA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Demonstrate their understanding of:</w:t>
      </w:r>
    </w:p>
    <w:p w14:paraId="45AE3C83" w14:textId="77777777" w:rsidR="000D2861" w:rsidRPr="000D2861" w:rsidRDefault="000D2861" w:rsidP="00A85CA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Scoring rubrics</w:t>
      </w:r>
    </w:p>
    <w:p w14:paraId="485459B6" w14:textId="77777777" w:rsidR="000D2861" w:rsidRPr="000D2861" w:rsidRDefault="000D2861" w:rsidP="00A85CA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CEFR descriptors</w:t>
      </w:r>
    </w:p>
    <w:p w14:paraId="67027913" w14:textId="77777777" w:rsidR="000D2861" w:rsidRPr="000D2861" w:rsidRDefault="000D2861" w:rsidP="00A85CA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Practice marking benchmark scripts</w:t>
      </w:r>
    </w:p>
    <w:p w14:paraId="64EBC590" w14:textId="77777777" w:rsidR="000D2861" w:rsidRPr="000D2861" w:rsidRDefault="000D2861" w:rsidP="000D2861">
      <w:p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Examiners are approved to mark after they have:</w:t>
      </w:r>
    </w:p>
    <w:p w14:paraId="44070239" w14:textId="77777777" w:rsidR="000D2861" w:rsidRPr="000D2861" w:rsidRDefault="000D2861" w:rsidP="00A85CAF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lastRenderedPageBreak/>
        <w:t>Passed standardisation assessments</w:t>
      </w:r>
    </w:p>
    <w:p w14:paraId="3412A303" w14:textId="5891CAC1" w:rsidR="00443F5D" w:rsidRPr="00EF621C" w:rsidRDefault="000D2861" w:rsidP="00443F5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0D2861">
        <w:rPr>
          <w:rFonts w:ascii="Times New Roman" w:hAnsi="Times New Roman" w:cs="Times New Roman"/>
        </w:rPr>
        <w:t>Received certification</w:t>
      </w:r>
    </w:p>
    <w:p w14:paraId="4A0487AD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</w:rPr>
      </w:pPr>
      <w:r w:rsidRPr="00443F5D">
        <w:rPr>
          <w:rFonts w:ascii="Times New Roman" w:hAnsi="Times New Roman" w:cs="Times New Roman"/>
          <w:b/>
          <w:bCs/>
        </w:rPr>
        <w:t>4.3.3. Standardisation</w:t>
      </w:r>
    </w:p>
    <w:p w14:paraId="2AD5CCAB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Standardisation is carried out:</w:t>
      </w:r>
    </w:p>
    <w:p w14:paraId="67198746" w14:textId="77777777" w:rsidR="00443F5D" w:rsidRPr="00443F5D" w:rsidRDefault="00443F5D" w:rsidP="00A85CAF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Before every test session</w:t>
      </w:r>
    </w:p>
    <w:p w14:paraId="59676963" w14:textId="77777777" w:rsidR="00443F5D" w:rsidRPr="00443F5D" w:rsidRDefault="00443F5D" w:rsidP="00A85CAF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Periodically during operations</w:t>
      </w:r>
    </w:p>
    <w:p w14:paraId="6F42D673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It entails:</w:t>
      </w:r>
    </w:p>
    <w:p w14:paraId="7229F1A9" w14:textId="77777777" w:rsidR="00443F5D" w:rsidRPr="00443F5D" w:rsidRDefault="00443F5D" w:rsidP="00A85CA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Marking benchmark responses</w:t>
      </w:r>
    </w:p>
    <w:p w14:paraId="4E28D236" w14:textId="77777777" w:rsidR="00443F5D" w:rsidRPr="00443F5D" w:rsidRDefault="00443F5D" w:rsidP="00A85CA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Comparing with standard scores</w:t>
      </w:r>
    </w:p>
    <w:p w14:paraId="0F15382A" w14:textId="77777777" w:rsidR="00443F5D" w:rsidRPr="00443F5D" w:rsidRDefault="00443F5D" w:rsidP="00A85CA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Interpreting scoring criteria</w:t>
      </w:r>
    </w:p>
    <w:p w14:paraId="0B96698D" w14:textId="25105848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→ Ensures that there is consistent application of scoring standards.</w:t>
      </w:r>
    </w:p>
    <w:p w14:paraId="245C03F7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</w:rPr>
      </w:pPr>
      <w:r w:rsidRPr="00443F5D">
        <w:rPr>
          <w:rFonts w:ascii="Times New Roman" w:hAnsi="Times New Roman" w:cs="Times New Roman"/>
          <w:b/>
          <w:bCs/>
        </w:rPr>
        <w:t xml:space="preserve">4.3.4. Double </w:t>
      </w:r>
      <w:r>
        <w:rPr>
          <w:rFonts w:ascii="Times New Roman" w:hAnsi="Times New Roman" w:cs="Times New Roman"/>
          <w:b/>
          <w:bCs/>
        </w:rPr>
        <w:t>m</w:t>
      </w:r>
      <w:r w:rsidRPr="00443F5D">
        <w:rPr>
          <w:rFonts w:ascii="Times New Roman" w:hAnsi="Times New Roman" w:cs="Times New Roman"/>
          <w:b/>
          <w:bCs/>
        </w:rPr>
        <w:t>arking</w:t>
      </w:r>
    </w:p>
    <w:p w14:paraId="7910E7FA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For Speaking tests at B2 and C1 levels:</w:t>
      </w:r>
    </w:p>
    <w:p w14:paraId="18A06C71" w14:textId="77777777" w:rsidR="00443F5D" w:rsidRPr="00443F5D" w:rsidRDefault="00443F5D" w:rsidP="00A85CAF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100% of scripts are double marked independently</w:t>
      </w:r>
    </w:p>
    <w:p w14:paraId="5D6CE006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 process entails:</w:t>
      </w:r>
    </w:p>
    <w:p w14:paraId="34DB3021" w14:textId="77777777" w:rsidR="00443F5D" w:rsidRPr="00443F5D" w:rsidRDefault="00443F5D" w:rsidP="00A85CAF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Two examiners mark independently</w:t>
      </w:r>
    </w:p>
    <w:p w14:paraId="57D235AF" w14:textId="77777777" w:rsidR="00443F5D" w:rsidRPr="00443F5D" w:rsidRDefault="00443F5D" w:rsidP="00A85CAF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Scores are compared</w:t>
      </w:r>
    </w:p>
    <w:p w14:paraId="74AF1F4A" w14:textId="7244E09D" w:rsidR="00443F5D" w:rsidRPr="00EF621C" w:rsidRDefault="00443F5D" w:rsidP="00443F5D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Discrepancy is checked; if above the limit, moderation is triggered</w:t>
      </w:r>
    </w:p>
    <w:p w14:paraId="7D50561C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</w:rPr>
      </w:pPr>
      <w:r w:rsidRPr="00443F5D">
        <w:rPr>
          <w:rFonts w:ascii="Times New Roman" w:hAnsi="Times New Roman" w:cs="Times New Roman"/>
          <w:b/>
          <w:bCs/>
        </w:rPr>
        <w:t>4.3.5. Moderation</w:t>
      </w:r>
    </w:p>
    <w:p w14:paraId="0E0476AC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It is applied in situations where:</w:t>
      </w:r>
    </w:p>
    <w:p w14:paraId="5C4959C2" w14:textId="77777777" w:rsidR="00443F5D" w:rsidRPr="00443F5D" w:rsidRDefault="00443F5D" w:rsidP="00A85CAF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Significant discrepancies in scores occur</w:t>
      </w:r>
    </w:p>
    <w:p w14:paraId="050546F0" w14:textId="77777777" w:rsidR="00443F5D" w:rsidRPr="00443F5D" w:rsidRDefault="00443F5D" w:rsidP="00A85CAF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Any irregularities are noted</w:t>
      </w:r>
    </w:p>
    <w:p w14:paraId="367F2866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 process entails:</w:t>
      </w:r>
    </w:p>
    <w:p w14:paraId="473DA845" w14:textId="77777777" w:rsidR="00443F5D" w:rsidRPr="00443F5D" w:rsidRDefault="00443F5D" w:rsidP="00A85CAF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lastRenderedPageBreak/>
        <w:t>Third examiner review</w:t>
      </w:r>
    </w:p>
    <w:p w14:paraId="236D4964" w14:textId="77777777" w:rsidR="00443F5D" w:rsidRPr="00443F5D" w:rsidRDefault="00443F5D" w:rsidP="00A85CAF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Expert review</w:t>
      </w:r>
    </w:p>
    <w:p w14:paraId="0B3482FB" w14:textId="1C68FF5D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 decision is reached through consensus.</w:t>
      </w:r>
    </w:p>
    <w:p w14:paraId="789184BD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</w:rPr>
      </w:pPr>
      <w:r w:rsidRPr="00443F5D">
        <w:rPr>
          <w:rFonts w:ascii="Times New Roman" w:hAnsi="Times New Roman" w:cs="Times New Roman"/>
          <w:b/>
          <w:bCs/>
        </w:rPr>
        <w:t>4.3.6. Examiner Monitoring</w:t>
      </w:r>
    </w:p>
    <w:p w14:paraId="019E314A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 system keeps track of:</w:t>
      </w:r>
    </w:p>
    <w:p w14:paraId="2CD58347" w14:textId="77777777" w:rsidR="00443F5D" w:rsidRPr="00443F5D" w:rsidRDefault="00443F5D" w:rsidP="00A85CAF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Mean scores for every examiner</w:t>
      </w:r>
    </w:p>
    <w:p w14:paraId="161A18C2" w14:textId="77777777" w:rsidR="00443F5D" w:rsidRPr="00443F5D" w:rsidRDefault="00443F5D" w:rsidP="00A85CAF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Standard deviation</w:t>
      </w:r>
    </w:p>
    <w:p w14:paraId="023480EB" w14:textId="77777777" w:rsidR="00443F5D" w:rsidRPr="00443F5D" w:rsidRDefault="00443F5D" w:rsidP="00A85CAF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Marking tendencies</w:t>
      </w:r>
    </w:p>
    <w:p w14:paraId="33425635" w14:textId="77777777" w:rsid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In case of anomalies:</w:t>
      </w:r>
    </w:p>
    <w:p w14:paraId="12F1EC23" w14:textId="77777777" w:rsidR="00443F5D" w:rsidRPr="00443F5D" w:rsidRDefault="00443F5D" w:rsidP="00A85CAF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Re-standardisation is carried out</w:t>
      </w:r>
    </w:p>
    <w:p w14:paraId="2DA00246" w14:textId="1D727851" w:rsidR="00443F5D" w:rsidRPr="00EF621C" w:rsidRDefault="00443F5D" w:rsidP="00443F5D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Mark</w:t>
      </w:r>
      <w:r w:rsidR="00EF621C">
        <w:rPr>
          <w:rFonts w:ascii="Times New Roman" w:hAnsi="Times New Roman" w:cs="Times New Roman"/>
        </w:rPr>
        <w:t>ing privileges may be revoke</w:t>
      </w:r>
    </w:p>
    <w:p w14:paraId="6E840F18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</w:rPr>
      </w:pPr>
      <w:r w:rsidRPr="00443F5D">
        <w:rPr>
          <w:rFonts w:ascii="Times New Roman" w:hAnsi="Times New Roman" w:cs="Times New Roman"/>
          <w:b/>
          <w:bCs/>
        </w:rPr>
        <w:t>4.3.7. Post marking review</w:t>
      </w:r>
    </w:p>
    <w:p w14:paraId="5B43F97D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It entails:</w:t>
      </w:r>
    </w:p>
    <w:p w14:paraId="59C70E4B" w14:textId="77777777" w:rsidR="00443F5D" w:rsidRPr="00443F5D" w:rsidRDefault="00443F5D" w:rsidP="00A85CAF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Statistical analysis of scores</w:t>
      </w:r>
    </w:p>
    <w:p w14:paraId="447C43F0" w14:textId="77777777" w:rsidR="00443F5D" w:rsidRPr="00443F5D" w:rsidRDefault="00443F5D" w:rsidP="00A85CAF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Inter-rater reliability analysis (ICC &amp; Kappa)</w:t>
      </w:r>
    </w:p>
    <w:p w14:paraId="6E472F38" w14:textId="77777777" w:rsidR="00443F5D" w:rsidRPr="00443F5D" w:rsidRDefault="00443F5D" w:rsidP="00A85CAF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Consistency checks</w:t>
      </w:r>
    </w:p>
    <w:p w14:paraId="3BEB59CD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 findings are used for:</w:t>
      </w:r>
    </w:p>
    <w:p w14:paraId="4EE0DB06" w14:textId="77777777" w:rsidR="00443F5D" w:rsidRPr="00443F5D" w:rsidRDefault="00443F5D" w:rsidP="00A85CAF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QA reporting</w:t>
      </w:r>
    </w:p>
    <w:p w14:paraId="4EC4649E" w14:textId="00ED7881" w:rsidR="00443F5D" w:rsidRPr="00EF621C" w:rsidRDefault="00443F5D" w:rsidP="00443F5D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Process improvements</w:t>
      </w:r>
    </w:p>
    <w:p w14:paraId="744C0953" w14:textId="77777777" w:rsidR="00EF621C" w:rsidRDefault="00EF621C" w:rsidP="00443F5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274009B" w14:textId="77777777" w:rsidR="00EF621C" w:rsidRDefault="00EF621C" w:rsidP="00443F5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CE89C93" w14:textId="77777777" w:rsidR="00EF621C" w:rsidRDefault="00EF621C" w:rsidP="00443F5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EBA71A5" w14:textId="77777777" w:rsidR="00EF621C" w:rsidRDefault="00EF621C" w:rsidP="00443F5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F54DEE8" w14:textId="7470996A"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</w:rPr>
      </w:pPr>
      <w:r w:rsidRPr="00443F5D">
        <w:rPr>
          <w:rFonts w:ascii="Times New Roman" w:hAnsi="Times New Roman" w:cs="Times New Roman"/>
          <w:b/>
          <w:bCs/>
        </w:rPr>
        <w:lastRenderedPageBreak/>
        <w:t>4.3.8. Data management and transparency</w:t>
      </w:r>
    </w:p>
    <w:p w14:paraId="55F85E7E" w14:textId="77777777" w:rsidR="00443F5D" w:rsidRPr="00443F5D" w:rsidRDefault="00443F5D" w:rsidP="00A85CAF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All scoring data is stored securely</w:t>
      </w:r>
    </w:p>
    <w:p w14:paraId="344DFD69" w14:textId="77777777" w:rsidR="00443F5D" w:rsidRPr="00443F5D" w:rsidRDefault="00443F5D" w:rsidP="00A85CAF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It is fully traceable and auditable</w:t>
      </w:r>
    </w:p>
    <w:p w14:paraId="2EFF85BA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It ensures:</w:t>
      </w:r>
    </w:p>
    <w:p w14:paraId="1BBA0F95" w14:textId="77777777" w:rsidR="00443F5D" w:rsidRPr="00443F5D" w:rsidRDefault="00443F5D" w:rsidP="00A85CAF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Transparency</w:t>
      </w:r>
    </w:p>
    <w:p w14:paraId="7EE7C8C4" w14:textId="47C812BD" w:rsidR="00443F5D" w:rsidRPr="00EF621C" w:rsidRDefault="00443F5D" w:rsidP="00443F5D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Accountability</w:t>
      </w:r>
    </w:p>
    <w:p w14:paraId="1D0E15A5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</w:rPr>
      </w:pPr>
      <w:r w:rsidRPr="00443F5D">
        <w:rPr>
          <w:rFonts w:ascii="Times New Roman" w:hAnsi="Times New Roman" w:cs="Times New Roman"/>
          <w:b/>
          <w:bCs/>
        </w:rPr>
        <w:t>5. Conclusion</w:t>
      </w:r>
    </w:p>
    <w:p w14:paraId="406119F5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 findings demonstrate that:</w:t>
      </w:r>
    </w:p>
    <w:p w14:paraId="682D9CA0" w14:textId="77777777" w:rsidR="00443F5D" w:rsidRPr="00443F5D" w:rsidRDefault="00443F5D" w:rsidP="00A85CAF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Inter-rater reliability is high (ICC = 0.86)</w:t>
      </w:r>
    </w:p>
    <w:p w14:paraId="38DE910C" w14:textId="77777777" w:rsidR="00443F5D" w:rsidRPr="00443F5D" w:rsidRDefault="00443F5D" w:rsidP="00A85CAF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Score discrepancies are minimal and well-controlled</w:t>
      </w:r>
    </w:p>
    <w:p w14:paraId="4D6F5AEA" w14:textId="77777777" w:rsidR="00443F5D" w:rsidRPr="00443F5D" w:rsidRDefault="00443F5D" w:rsidP="00A85CAF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100% of examiners are fully standardised and certified</w:t>
      </w:r>
    </w:p>
    <w:p w14:paraId="43FFAFE1" w14:textId="77777777" w:rsidR="00443F5D" w:rsidRPr="00443F5D" w:rsidRDefault="00443F5D" w:rsidP="00A85CAF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 scoring governance system is robust and effectively implemented</w:t>
      </w:r>
    </w:p>
    <w:p w14:paraId="430B21A8" w14:textId="77777777" w:rsidR="00443F5D" w:rsidRPr="00443F5D" w:rsidRDefault="00443F5D" w:rsidP="00443F5D">
      <w:p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These factors ensure that the NOCN ESOL International examination achieves:</w:t>
      </w:r>
    </w:p>
    <w:p w14:paraId="1D16F87C" w14:textId="77777777" w:rsidR="00443F5D" w:rsidRPr="00443F5D" w:rsidRDefault="00443F5D" w:rsidP="00A85CAF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Objectivity</w:t>
      </w:r>
    </w:p>
    <w:p w14:paraId="15476758" w14:textId="77777777" w:rsidR="00443F5D" w:rsidRPr="00443F5D" w:rsidRDefault="00443F5D" w:rsidP="00A85CAF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Consistency</w:t>
      </w:r>
    </w:p>
    <w:p w14:paraId="6F545A95" w14:textId="77777777" w:rsidR="00443F5D" w:rsidRPr="00443F5D" w:rsidRDefault="00443F5D" w:rsidP="00A85CAF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 w:rsidRPr="00443F5D">
        <w:rPr>
          <w:rFonts w:ascii="Times New Roman" w:hAnsi="Times New Roman" w:cs="Times New Roman"/>
        </w:rPr>
        <w:t>Fairness</w:t>
      </w:r>
    </w:p>
    <w:p w14:paraId="765C94AC" w14:textId="7E8D90F2" w:rsidR="00A95B4C" w:rsidRPr="0077645F" w:rsidRDefault="0077645F" w:rsidP="0077645F">
      <w:pPr>
        <w:spacing w:line="480" w:lineRule="auto"/>
        <w:rPr>
          <w:rFonts w:ascii="Times New Roman" w:hAnsi="Times New Roman" w:cs="Times New Roman"/>
        </w:rPr>
      </w:pPr>
      <w:r w:rsidRPr="00383032">
        <w:rPr>
          <w:noProof/>
        </w:rPr>
        <w:drawing>
          <wp:anchor distT="0" distB="0" distL="114300" distR="114300" simplePos="0" relativeHeight="251659264" behindDoc="0" locked="0" layoutInCell="1" allowOverlap="1" wp14:anchorId="333FE6BB" wp14:editId="43CA221C">
            <wp:simplePos x="0" y="0"/>
            <wp:positionH relativeFrom="margin">
              <wp:posOffset>57150</wp:posOffset>
            </wp:positionH>
            <wp:positionV relativeFrom="paragraph">
              <wp:posOffset>552450</wp:posOffset>
            </wp:positionV>
            <wp:extent cx="3364865" cy="1476375"/>
            <wp:effectExtent l="0" t="0" r="6985" b="0"/>
            <wp:wrapTopAndBottom/>
            <wp:docPr id="14992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5658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25"/>
                    <a:stretch/>
                  </pic:blipFill>
                  <pic:spPr bwMode="auto">
                    <a:xfrm>
                      <a:off x="0" y="0"/>
                      <a:ext cx="336486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F5D" w:rsidRPr="00443F5D">
        <w:rPr>
          <w:rFonts w:ascii="Times New Roman" w:hAnsi="Times New Roman" w:cs="Times New Roman"/>
        </w:rPr>
        <w:t>→ In alignment with international standards in language assessment.</w:t>
      </w:r>
      <w:r w:rsidRPr="0077645F">
        <w:rPr>
          <w:noProof/>
        </w:rPr>
        <w:t xml:space="preserve"> </w:t>
      </w:r>
      <w:r w:rsidR="00A95B4C">
        <w:rPr>
          <w:rFonts w:ascii="Times New Roman" w:hAnsi="Times New Roman" w:cs="Times New Roman"/>
        </w:rPr>
        <w:br w:type="page"/>
      </w:r>
    </w:p>
    <w:p w14:paraId="58C0818B" w14:textId="77777777" w:rsidR="00A95B4C" w:rsidRPr="00540805" w:rsidRDefault="00A95B4C" w:rsidP="00A95B4C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References</w:t>
      </w:r>
    </w:p>
    <w:p w14:paraId="6C36A376" w14:textId="77777777"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Brown, H. D., &amp; Abeywickrama, P. (2019). </w:t>
      </w:r>
      <w:r>
        <w:rPr>
          <w:rStyle w:val="Emphasis"/>
          <w:rFonts w:eastAsiaTheme="majorEastAsia"/>
        </w:rPr>
        <w:t>Language assessment: Principles and classroom practices</w:t>
      </w:r>
      <w:r>
        <w:t xml:space="preserve"> (3rd ed.). Pearson.</w:t>
      </w:r>
    </w:p>
    <w:p w14:paraId="0729CA46" w14:textId="77777777"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Koo, T. K., &amp; Li, M. Y. (2016). A guideline of selecting and reporting intraclass correlation coefficients for reliability research. </w:t>
      </w:r>
      <w:r>
        <w:rPr>
          <w:rStyle w:val="Emphasis"/>
          <w:rFonts w:eastAsiaTheme="majorEastAsia"/>
        </w:rPr>
        <w:t>Journal of Chiropractic Medicine, 15</w:t>
      </w:r>
      <w:r>
        <w:t xml:space="preserve">(2), 155–163. </w:t>
      </w:r>
      <w:hyperlink r:id="rId9" w:tgtFrame="_new" w:history="1">
        <w:r>
          <w:rPr>
            <w:rStyle w:val="Hyperlink"/>
            <w:rFonts w:eastAsiaTheme="majorEastAsia"/>
          </w:rPr>
          <w:t>https://doi.org/10.1016/j.jcm.2016.02.012</w:t>
        </w:r>
      </w:hyperlink>
    </w:p>
    <w:p w14:paraId="6941A230" w14:textId="77777777"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McNamara, T. (2000). </w:t>
      </w:r>
      <w:r>
        <w:rPr>
          <w:rStyle w:val="Emphasis"/>
          <w:rFonts w:eastAsiaTheme="majorEastAsia"/>
        </w:rPr>
        <w:t>Language testing</w:t>
      </w:r>
      <w:r>
        <w:t>. Oxford University Press.</w:t>
      </w:r>
    </w:p>
    <w:p w14:paraId="15F80593" w14:textId="77777777"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Weir, C. J. (2005). </w:t>
      </w:r>
      <w:r>
        <w:rPr>
          <w:rStyle w:val="Emphasis"/>
          <w:rFonts w:eastAsiaTheme="majorEastAsia"/>
        </w:rPr>
        <w:t>Language testing and validation: An evidence-based approach</w:t>
      </w:r>
      <w:r>
        <w:t>. Palgrave Macmillan.</w:t>
      </w:r>
    </w:p>
    <w:p w14:paraId="66FA8EB9" w14:textId="473D4D8C" w:rsidR="00A95B4C" w:rsidRPr="00443F5D" w:rsidRDefault="001D73A8" w:rsidP="00443F5D">
      <w:pPr>
        <w:spacing w:line="480" w:lineRule="auto"/>
        <w:rPr>
          <w:rFonts w:ascii="Times New Roman" w:hAnsi="Times New Roman" w:cs="Times New Roman"/>
        </w:rPr>
      </w:pPr>
      <w:r w:rsidRPr="00383032">
        <w:rPr>
          <w:noProof/>
        </w:rPr>
        <w:drawing>
          <wp:anchor distT="0" distB="0" distL="114300" distR="114300" simplePos="0" relativeHeight="251663360" behindDoc="0" locked="0" layoutInCell="1" allowOverlap="1" wp14:anchorId="15D4D26C" wp14:editId="74972A80">
            <wp:simplePos x="0" y="0"/>
            <wp:positionH relativeFrom="margin">
              <wp:align>center</wp:align>
            </wp:positionH>
            <wp:positionV relativeFrom="page">
              <wp:posOffset>8635365</wp:posOffset>
            </wp:positionV>
            <wp:extent cx="7324725" cy="933450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33949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2" t="7080" r="1704" b="6195"/>
                    <a:stretch/>
                  </pic:blipFill>
                  <pic:spPr bwMode="auto">
                    <a:xfrm>
                      <a:off x="0" y="0"/>
                      <a:ext cx="732472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5B4C" w:rsidRPr="00443F5D" w:rsidSect="00AB23F2">
      <w:footerReference w:type="default" r:id="rId11"/>
      <w:pgSz w:w="12240" w:h="15840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F316" w14:textId="77777777" w:rsidR="00B109B5" w:rsidRDefault="00B109B5" w:rsidP="0077645F">
      <w:r>
        <w:separator/>
      </w:r>
    </w:p>
  </w:endnote>
  <w:endnote w:type="continuationSeparator" w:id="0">
    <w:p w14:paraId="7C3C3C4C" w14:textId="77777777" w:rsidR="00B109B5" w:rsidRDefault="00B109B5" w:rsidP="007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2F5496" w:themeColor="accent1" w:themeShade="BF"/>
        <w:sz w:val="22"/>
        <w:szCs w:val="22"/>
      </w:rPr>
      <w:id w:val="-1205412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F5281" w14:textId="2A09871C" w:rsidR="000162D8" w:rsidRPr="000162D8" w:rsidRDefault="000162D8">
        <w:pPr>
          <w:pStyle w:val="Footer"/>
          <w:jc w:val="right"/>
          <w:rPr>
            <w:rFonts w:ascii="Times New Roman" w:hAnsi="Times New Roman" w:cs="Times New Roman"/>
            <w:color w:val="2F5496" w:themeColor="accent1" w:themeShade="BF"/>
            <w:sz w:val="22"/>
            <w:szCs w:val="22"/>
          </w:rPr>
        </w:pPr>
        <w:r w:rsidRPr="000162D8">
          <w:rPr>
            <w:rFonts w:ascii="Times New Roman" w:hAnsi="Times New Roman" w:cs="Times New Roman"/>
            <w:color w:val="2F5496" w:themeColor="accent1" w:themeShade="BF"/>
            <w:sz w:val="22"/>
            <w:szCs w:val="22"/>
          </w:rPr>
          <w:fldChar w:fldCharType="begin"/>
        </w:r>
        <w:r w:rsidRPr="000162D8">
          <w:rPr>
            <w:rFonts w:ascii="Times New Roman" w:hAnsi="Times New Roman" w:cs="Times New Roman"/>
            <w:color w:val="2F5496" w:themeColor="accent1" w:themeShade="BF"/>
            <w:sz w:val="22"/>
            <w:szCs w:val="22"/>
          </w:rPr>
          <w:instrText xml:space="preserve"> PAGE   \* MERGEFORMAT </w:instrText>
        </w:r>
        <w:r w:rsidRPr="000162D8">
          <w:rPr>
            <w:rFonts w:ascii="Times New Roman" w:hAnsi="Times New Roman" w:cs="Times New Roman"/>
            <w:color w:val="2F5496" w:themeColor="accent1" w:themeShade="BF"/>
            <w:sz w:val="22"/>
            <w:szCs w:val="22"/>
          </w:rPr>
          <w:fldChar w:fldCharType="separate"/>
        </w:r>
        <w:r w:rsidR="00A56446">
          <w:rPr>
            <w:rFonts w:ascii="Times New Roman" w:hAnsi="Times New Roman" w:cs="Times New Roman"/>
            <w:noProof/>
            <w:color w:val="2F5496" w:themeColor="accent1" w:themeShade="BF"/>
            <w:sz w:val="22"/>
            <w:szCs w:val="22"/>
          </w:rPr>
          <w:t>8</w:t>
        </w:r>
        <w:r w:rsidRPr="000162D8">
          <w:rPr>
            <w:rFonts w:ascii="Times New Roman" w:hAnsi="Times New Roman" w:cs="Times New Roman"/>
            <w:noProof/>
            <w:color w:val="2F5496" w:themeColor="accent1" w:themeShade="BF"/>
            <w:sz w:val="22"/>
            <w:szCs w:val="22"/>
          </w:rPr>
          <w:fldChar w:fldCharType="end"/>
        </w:r>
      </w:p>
    </w:sdtContent>
  </w:sdt>
  <w:p w14:paraId="736ED975" w14:textId="77777777" w:rsidR="001D73A8" w:rsidRPr="000162D8" w:rsidRDefault="001D73A8">
    <w:pPr>
      <w:pStyle w:val="Footer"/>
      <w:rPr>
        <w:rFonts w:ascii="Times New Roman" w:hAnsi="Times New Roman" w:cs="Times New Roman"/>
        <w:color w:val="2F5496" w:themeColor="accent1" w:themeShade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A9CAC" w14:textId="77777777" w:rsidR="00B109B5" w:rsidRDefault="00B109B5" w:rsidP="0077645F">
      <w:r>
        <w:separator/>
      </w:r>
    </w:p>
  </w:footnote>
  <w:footnote w:type="continuationSeparator" w:id="0">
    <w:p w14:paraId="1DB2D87C" w14:textId="77777777" w:rsidR="00B109B5" w:rsidRDefault="00B109B5" w:rsidP="0077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FA9"/>
    <w:multiLevelType w:val="hybridMultilevel"/>
    <w:tmpl w:val="8A460F8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5BC"/>
    <w:multiLevelType w:val="hybridMultilevel"/>
    <w:tmpl w:val="8722C42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2A1"/>
    <w:multiLevelType w:val="hybridMultilevel"/>
    <w:tmpl w:val="BA62B57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7155"/>
    <w:multiLevelType w:val="hybridMultilevel"/>
    <w:tmpl w:val="2ABE119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4E52"/>
    <w:multiLevelType w:val="hybridMultilevel"/>
    <w:tmpl w:val="C704923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37EB"/>
    <w:multiLevelType w:val="hybridMultilevel"/>
    <w:tmpl w:val="CB808BA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0CB"/>
    <w:multiLevelType w:val="hybridMultilevel"/>
    <w:tmpl w:val="C25E143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2CEF"/>
    <w:multiLevelType w:val="hybridMultilevel"/>
    <w:tmpl w:val="2126224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36A8A"/>
    <w:multiLevelType w:val="hybridMultilevel"/>
    <w:tmpl w:val="1E32EDE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5646F"/>
    <w:multiLevelType w:val="hybridMultilevel"/>
    <w:tmpl w:val="EFB0B5A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24A7"/>
    <w:multiLevelType w:val="hybridMultilevel"/>
    <w:tmpl w:val="B210A20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11103"/>
    <w:multiLevelType w:val="hybridMultilevel"/>
    <w:tmpl w:val="BD72376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214DC"/>
    <w:multiLevelType w:val="hybridMultilevel"/>
    <w:tmpl w:val="062640D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23046"/>
    <w:multiLevelType w:val="hybridMultilevel"/>
    <w:tmpl w:val="47388BC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456"/>
    <w:multiLevelType w:val="hybridMultilevel"/>
    <w:tmpl w:val="C1AC559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6187"/>
    <w:multiLevelType w:val="hybridMultilevel"/>
    <w:tmpl w:val="8C50537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93E46"/>
    <w:multiLevelType w:val="hybridMultilevel"/>
    <w:tmpl w:val="6EECD97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60606"/>
    <w:multiLevelType w:val="hybridMultilevel"/>
    <w:tmpl w:val="A0BE054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A3E61"/>
    <w:multiLevelType w:val="hybridMultilevel"/>
    <w:tmpl w:val="BEBCC1B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A10E8"/>
    <w:multiLevelType w:val="hybridMultilevel"/>
    <w:tmpl w:val="8EFE436C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3073C"/>
    <w:multiLevelType w:val="hybridMultilevel"/>
    <w:tmpl w:val="7CC4CA2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A54F1"/>
    <w:multiLevelType w:val="hybridMultilevel"/>
    <w:tmpl w:val="B60EB2A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B5C57"/>
    <w:multiLevelType w:val="hybridMultilevel"/>
    <w:tmpl w:val="7A6CEA1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153D"/>
    <w:multiLevelType w:val="hybridMultilevel"/>
    <w:tmpl w:val="CFD0154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C35DB"/>
    <w:multiLevelType w:val="hybridMultilevel"/>
    <w:tmpl w:val="A4A2884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21"/>
  </w:num>
  <w:num w:numId="5">
    <w:abstractNumId w:val="3"/>
  </w:num>
  <w:num w:numId="6">
    <w:abstractNumId w:val="17"/>
  </w:num>
  <w:num w:numId="7">
    <w:abstractNumId w:val="13"/>
  </w:num>
  <w:num w:numId="8">
    <w:abstractNumId w:val="2"/>
  </w:num>
  <w:num w:numId="9">
    <w:abstractNumId w:val="16"/>
  </w:num>
  <w:num w:numId="10">
    <w:abstractNumId w:val="24"/>
  </w:num>
  <w:num w:numId="11">
    <w:abstractNumId w:val="0"/>
  </w:num>
  <w:num w:numId="12">
    <w:abstractNumId w:val="10"/>
  </w:num>
  <w:num w:numId="13">
    <w:abstractNumId w:val="1"/>
  </w:num>
  <w:num w:numId="14">
    <w:abstractNumId w:val="22"/>
  </w:num>
  <w:num w:numId="15">
    <w:abstractNumId w:val="9"/>
  </w:num>
  <w:num w:numId="16">
    <w:abstractNumId w:val="11"/>
  </w:num>
  <w:num w:numId="17">
    <w:abstractNumId w:val="14"/>
  </w:num>
  <w:num w:numId="18">
    <w:abstractNumId w:val="6"/>
  </w:num>
  <w:num w:numId="19">
    <w:abstractNumId w:val="12"/>
  </w:num>
  <w:num w:numId="20">
    <w:abstractNumId w:val="7"/>
  </w:num>
  <w:num w:numId="21">
    <w:abstractNumId w:val="19"/>
  </w:num>
  <w:num w:numId="22">
    <w:abstractNumId w:val="8"/>
  </w:num>
  <w:num w:numId="23">
    <w:abstractNumId w:val="20"/>
  </w:num>
  <w:num w:numId="24">
    <w:abstractNumId w:val="5"/>
  </w:num>
  <w:num w:numId="2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AA"/>
    <w:rsid w:val="00003CC2"/>
    <w:rsid w:val="000162D8"/>
    <w:rsid w:val="00094FFE"/>
    <w:rsid w:val="000D2861"/>
    <w:rsid w:val="001D73A8"/>
    <w:rsid w:val="001E6258"/>
    <w:rsid w:val="00357A3D"/>
    <w:rsid w:val="00361B59"/>
    <w:rsid w:val="003C5E5C"/>
    <w:rsid w:val="00402426"/>
    <w:rsid w:val="00443F5D"/>
    <w:rsid w:val="00460234"/>
    <w:rsid w:val="00497397"/>
    <w:rsid w:val="004B66EC"/>
    <w:rsid w:val="005125AA"/>
    <w:rsid w:val="00540805"/>
    <w:rsid w:val="00594F79"/>
    <w:rsid w:val="006B1F26"/>
    <w:rsid w:val="0077645F"/>
    <w:rsid w:val="0091568F"/>
    <w:rsid w:val="009520E4"/>
    <w:rsid w:val="00A21697"/>
    <w:rsid w:val="00A56446"/>
    <w:rsid w:val="00A85CAF"/>
    <w:rsid w:val="00A95B4C"/>
    <w:rsid w:val="00AB00FD"/>
    <w:rsid w:val="00AB23F2"/>
    <w:rsid w:val="00AD5C2F"/>
    <w:rsid w:val="00AF4965"/>
    <w:rsid w:val="00B109B5"/>
    <w:rsid w:val="00B37F8A"/>
    <w:rsid w:val="00CE5A9D"/>
    <w:rsid w:val="00D03078"/>
    <w:rsid w:val="00D16F0B"/>
    <w:rsid w:val="00DB3625"/>
    <w:rsid w:val="00DE6639"/>
    <w:rsid w:val="00EC55AA"/>
    <w:rsid w:val="00EF621C"/>
    <w:rsid w:val="00F0303D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0A6B3"/>
  <w15:chartTrackingRefBased/>
  <w15:docId w15:val="{D9DA66A6-91C2-B044-9C2D-67E791DB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5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5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5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5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5A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55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C55A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08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80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45F"/>
  </w:style>
  <w:style w:type="paragraph" w:styleId="Footer">
    <w:name w:val="footer"/>
    <w:basedOn w:val="Normal"/>
    <w:link w:val="FooterChar"/>
    <w:uiPriority w:val="99"/>
    <w:unhideWhenUsed/>
    <w:rsid w:val="00776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cm.2016.02.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Hoi</dc:creator>
  <cp:keywords/>
  <dc:description/>
  <cp:lastModifiedBy>Admin</cp:lastModifiedBy>
  <cp:revision>18</cp:revision>
  <cp:lastPrinted>2026-03-24T04:01:00Z</cp:lastPrinted>
  <dcterms:created xsi:type="dcterms:W3CDTF">2026-03-23T16:11:00Z</dcterms:created>
  <dcterms:modified xsi:type="dcterms:W3CDTF">2026-03-26T03:06:00Z</dcterms:modified>
</cp:coreProperties>
</file>