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5AA" w:rsidRDefault="00EC55AA" w:rsidP="0091568F">
      <w:pPr>
        <w:pStyle w:val="NormalWeb"/>
        <w:spacing w:before="0" w:beforeAutospacing="0" w:after="0" w:afterAutospacing="0" w:line="480" w:lineRule="auto"/>
        <w:rPr>
          <w:rStyle w:val="Strong"/>
          <w:rFonts w:eastAsiaTheme="majorEastAsia"/>
        </w:rPr>
      </w:pPr>
      <w:r>
        <w:rPr>
          <w:rStyle w:val="Strong"/>
          <w:rFonts w:eastAsiaTheme="majorEastAsia"/>
        </w:rPr>
        <w:t>TIÊU CHÍ 14</w:t>
      </w:r>
    </w:p>
    <w:p w:rsidR="00EC55AA" w:rsidRDefault="00EC55AA" w:rsidP="0091568F">
      <w:pPr>
        <w:pStyle w:val="NormalWeb"/>
        <w:spacing w:before="0" w:beforeAutospacing="0" w:after="0" w:afterAutospacing="0" w:line="480" w:lineRule="auto"/>
        <w:jc w:val="center"/>
        <w:rPr>
          <w:rStyle w:val="Strong"/>
          <w:rFonts w:eastAsiaTheme="majorEastAsia"/>
        </w:rPr>
      </w:pPr>
      <w:r>
        <w:rPr>
          <w:rStyle w:val="Strong"/>
          <w:rFonts w:eastAsiaTheme="majorEastAsia"/>
        </w:rPr>
        <w:t>Phân tích độ tin cậy, giá trị đo lường và tính ổn định</w:t>
      </w:r>
    </w:p>
    <w:p w:rsidR="00EC55AA" w:rsidRDefault="00EC55AA" w:rsidP="0091568F">
      <w:pPr>
        <w:pStyle w:val="NormalWeb"/>
        <w:spacing w:before="0" w:beforeAutospacing="0" w:after="0" w:afterAutospacing="0" w:line="480" w:lineRule="auto"/>
        <w:jc w:val="center"/>
        <w:rPr>
          <w:rStyle w:val="Strong"/>
          <w:rFonts w:eastAsiaTheme="majorEastAsia"/>
        </w:rPr>
      </w:pPr>
      <w:r>
        <w:rPr>
          <w:rStyle w:val="Strong"/>
          <w:rFonts w:eastAsiaTheme="majorEastAsia"/>
        </w:rPr>
        <w:t>của bài thi NOCN ESOL International</w:t>
      </w:r>
      <w:r>
        <w:rPr>
          <w:rStyle w:val="Strong"/>
          <w:rFonts w:eastAsiaTheme="majorEastAsia"/>
        </w:rPr>
        <w:t xml:space="preserve"> </w:t>
      </w:r>
    </w:p>
    <w:p w:rsidR="00EC55AA" w:rsidRDefault="00EC55AA" w:rsidP="0091568F">
      <w:pPr>
        <w:pStyle w:val="NormalWeb"/>
        <w:spacing w:before="0" w:beforeAutospacing="0" w:after="0" w:afterAutospacing="0" w:line="480" w:lineRule="auto"/>
        <w:jc w:val="center"/>
      </w:pPr>
      <w:r>
        <w:rPr>
          <w:rStyle w:val="Strong"/>
          <w:rFonts w:eastAsiaTheme="majorEastAsia"/>
        </w:rPr>
        <w:t>thông qua nghiên cứu trên 4 quốc trong 4 tháng cuối năm 2025</w:t>
      </w: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 xml:space="preserve">Tóm tắt </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Báo cáo này cung cấp bằng chứng thực nghiệm về độ tin cậy và giá trị đo lường của bài thi NOCN ESOL International dựa trên bộ dữ liệu gồm 1.258 thí sinh tham gia nhiều đợt thi tại các quốc gia khác nhau. Độ tin cậy được đánh giá thông qua chỉ số nhất quán nội bộ (Cronbach’s Alpha), trong khi giá trị đo lường được xem xét thông qua sự phù hợp với các mô tả năng lực theo Khung tham chiếu trình độ ngôn ngữ chung châu Âu (CEFR) và phân tích phân bố điểm số theo các bậc trình độ. Kết quả cho thấy bài thi đạt mức độ nhất quán nội bộ cao (α = 0,905), duy trì sự ổn định về điểm số giữa các đợt thi, đồng thời thể hiện xu hướng tăng dần rõ rệt theo các bậc năng lực từ A2 đến C1. Những kết quả này cho thấy bài thi có khả năng cung cấp các kết quả ổn định và có ý nghĩa trong việc đánh giá năng lực tiếng Anh. Báo cáo kết luận rằng bài thi NOCN ESOL International đáp ứng tốt các yêu cầu về mặt đo lường và phù hợp để sử dụng trong các mục đích đánh giá và chứng nhận năng lực ngoại ngữ.</w:t>
      </w:r>
    </w:p>
    <w:p w:rsidR="00EC55AA" w:rsidRDefault="00EC55AA" w:rsidP="0091568F">
      <w:pPr>
        <w:spacing w:line="480" w:lineRule="auto"/>
        <w:ind w:firstLine="567"/>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1. Mục tiêu</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Báo cáo này nhằm cung cấp minh chứng về độ tin cậy (reliability) và giá trị đo lường (validity) của bài thi NOCN ESOL International, đồng thời đánh giá mức độ ổn định của kết quả theo thời gian và giữa các nhóm thí sinh. Việc đánh giá này là cần thiết nhằm đảm bảo rằng bài thi có thể được sử dụng như một công cụ đáng tin cậy trong việc đo lường năng lực tiếng Anh theo Khung tham chiếu trình độ ngôn ngữ chung châu Âu (CEFR).</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lastRenderedPageBreak/>
        <w:t>Trong lĩnh vực khảo thí ngôn ngữ, độ tin cậy và giá trị đo lường được xem là hai tiêu chí cốt lõi để đánh giá chất lượng của một bài thi (Bachman &amp; Palmer, 1996). Một bài thi chỉ có giá trị sử dụng khi kết quả của nó vừa ổn định, vừa phản ánh đúng năng lực cần đo. Do đó, việc phân tích các chỉ số này đóng vai trò quan trọng trong việc củng cố cơ sở học thuật và thực tiễn của bài thi.</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2. Phương pháp</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Phân tích được thực hiện trên bộ dữ liệu gồm 1,258 thí sinh tham gia bài thi NOCN ESOL International tại nhiều quốc gia (Nga, Hy Lạp, Ấn Độ và UAE) trong giai đoạn từ tháng 9 đến tháng 12 năm 2025. Dữ liệu bao gồm điểm số của bốn kỹ năng Nghe, Đọc, Viết và Nói, cùng với thông tin về trình độ bài thi và thời điểm tổ chức.</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2.1. Độ tin cậy</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Độ tin cậy của bài thi được đánh giá thông qua chỉ số Cronbach’s Alpha, một thước đo phổ biến để xác định mức độ nhất quán nội bộ của bài thi (Cronbach, 1951). Chỉ số này phản ánh mức độ mà các thành phần trong bài thi cùng đo lường một cấu trúc năng lực chung.</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2.2. Phân tích theo thời gian và nhóm</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Tính ổn định của bài thi được đánh giá thông qua so sánh kết quả giữa các đợt thi, sử dụng các chỉ số như điểm trung bình, độ lệch chuẩn và tỷ lệ đạt. Đồng thời, kết quả cũng được phân tích theo các nhóm thí sinh (quốc gia và trình độ) nhằm xác định sự khác biệt tiềm năng giữa các nhóm.</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lastRenderedPageBreak/>
        <w:t>2.3. Giá trị đo lường</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Giá trị đo lường được xem xét thông qua ba khía cạnh:</w:t>
      </w:r>
    </w:p>
    <w:p w:rsidR="00EC55AA" w:rsidRPr="00EC55AA" w:rsidRDefault="00EC55AA" w:rsidP="0091568F">
      <w:pPr>
        <w:pStyle w:val="ListParagraph"/>
        <w:numPr>
          <w:ilvl w:val="0"/>
          <w:numId w:val="1"/>
        </w:numPr>
        <w:spacing w:line="480" w:lineRule="auto"/>
        <w:rPr>
          <w:rFonts w:ascii="Times New Roman" w:hAnsi="Times New Roman" w:cs="Times New Roman"/>
        </w:rPr>
      </w:pPr>
      <w:r w:rsidRPr="00EC55AA">
        <w:rPr>
          <w:rFonts w:ascii="Times New Roman" w:hAnsi="Times New Roman" w:cs="Times New Roman"/>
        </w:rPr>
        <w:t>Content validity: sự phù hợp giữa nội dung bài thi và các mô tả năng lực trong CEFR</w:t>
      </w:r>
    </w:p>
    <w:p w:rsidR="00EC55AA" w:rsidRPr="00EC55AA" w:rsidRDefault="00EC55AA" w:rsidP="0091568F">
      <w:pPr>
        <w:pStyle w:val="ListParagraph"/>
        <w:numPr>
          <w:ilvl w:val="0"/>
          <w:numId w:val="1"/>
        </w:numPr>
        <w:spacing w:line="480" w:lineRule="auto"/>
        <w:rPr>
          <w:rFonts w:ascii="Times New Roman" w:hAnsi="Times New Roman" w:cs="Times New Roman"/>
        </w:rPr>
      </w:pPr>
      <w:r w:rsidRPr="00EC55AA">
        <w:rPr>
          <w:rFonts w:ascii="Times New Roman" w:hAnsi="Times New Roman" w:cs="Times New Roman"/>
        </w:rPr>
        <w:t>Construct validity: mức độ bài thi phản ánh các kỹ năng ngôn ngữ cốt lõi</w:t>
      </w:r>
    </w:p>
    <w:p w:rsidR="00EC55AA" w:rsidRPr="00EC55AA" w:rsidRDefault="00EC55AA" w:rsidP="0091568F">
      <w:pPr>
        <w:pStyle w:val="ListParagraph"/>
        <w:numPr>
          <w:ilvl w:val="0"/>
          <w:numId w:val="1"/>
        </w:numPr>
        <w:spacing w:line="480" w:lineRule="auto"/>
        <w:rPr>
          <w:rFonts w:ascii="Times New Roman" w:hAnsi="Times New Roman" w:cs="Times New Roman"/>
        </w:rPr>
      </w:pPr>
      <w:r w:rsidRPr="00EC55AA">
        <w:rPr>
          <w:rFonts w:ascii="Times New Roman" w:hAnsi="Times New Roman" w:cs="Times New Roman"/>
        </w:rPr>
        <w:t>Alignment with CEFR: sự tương thích giữa kết quả thi và các bậc năng lực</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Cách tiếp cận này phù hợp với các khung lý thuyết hiện đại trong đánh giá ngôn ngữ (Messick, 1989; Weir, 2005).</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3. Kết quả chính</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Kết quả phân tích cho thấy bài thi đạt mức độ tin cậy rất cao. Chỉ số Cronbach’s Alpha = 0.905 cho thấy mức độ nhất quán nội bộ rất tốt, vượt ngưỡng thường được chấp nhận trong các bài thi chuẩn hóa (≥ 0.8) (DeVellis, 2016).</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Điểm trung bình toàn bộ mẫu đạt 21.44/33, với độ lệch chuẩn 4.86, phản ánh sự phân bố điểm hợp lý. Tỷ lệ thí sinh đạt ngưỡng yêu cầu (≥17 điểm) là 82.8%.</w:t>
      </w:r>
    </w:p>
    <w:p w:rsidR="00EC55AA" w:rsidRPr="00EC55AA" w:rsidRDefault="00EC55AA" w:rsidP="0091568F">
      <w:pPr>
        <w:spacing w:line="480" w:lineRule="auto"/>
        <w:ind w:firstLine="567"/>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3.1. Theo quốc gia</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Điểm trung bình dao động từ 20.30 đến 22.33, với tỷ lệ đạt từ 74.2% đến 88.3%. Mặc dù có sự khác biệt nhẹ giữa các quốc gia, các kết quả này không cho thấy sự sai lệch đáng kể trong cách bài thi vận hành.</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3.2. Theo thời gian</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lastRenderedPageBreak/>
        <w:t>Kết quả giữa các đợt thi tương đối ổn định, với điểm trung bình dao động trong khoảng 20.30–22.33. Không ghi nhận biến động bất thường, cho thấy bài thi duy trì được tính nhất quán trong các điều kiện triển khai khác nhau.</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3.3. Theo trình độ</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Điểm trung bình tăng dần theo trình độ:</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A2: 17.77</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B1: 20.27</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B2: 22.82</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C1: 25.79</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Tỷ lệ đạt tương ứng:</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A2: 60.6%</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B1: 81.4%</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B2: 92.4%</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C1: 98.0%</w:t>
      </w: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t>Xu hướng này phù hợp với lý thuyết về sự phát triển năng lực ngôn ngữ theo CEFR (Council of Europe, 2001).</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4. Diễn giải kết quả</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Chỉ số Cronbach’s Alpha ở mức 0.905 là một bằng chứng mạnh cho thấy bài thi có độ nhất quán nội bộ rất cao. Điều này cho thấy các kỹ năng trong bài thi không hoạt động độc lập mà cùng đo lường một cấu trúc năng lực ngôn ngữ tổng thể (Field, 2018).</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lastRenderedPageBreak/>
        <w:t>Sự ổn định của kết quả qua các đợt thi cho thấy bài thi có khả năng vận hành nhất quán trong các bối cảnh khác nhau. Đây là một yếu tố quan trọng trong đánh giá chuẩn hóa, vì nó đảm bảo rằng điểm số có thể được so sánh giữa các lần thi (Kane, 2013).</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Ngoài ra, sự phân tầng rõ ràng theo trình độ là một bằng chứng quan trọng về giá trị đo lường. Việc điểm số tăng dần theo các bậc A2–C1 cho thấy bài thi phản ánh đúng sự khác biệt về năng lực, phù hợp với các mô hình lý thuyết về đánh giá ngôn ngữ (Fulcher &amp; Davidson, 2007).</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Mặc dù có sự khác biệt nhẹ giữa các quốc gia, các kết quả này không ảnh hưởng đáng kể đến cách diễn giải năng lực, cho thấy bài thi có tính ứng dụng rộng trong các bối cảnh quốc tế.</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b/>
          <w:bCs/>
        </w:rPr>
      </w:pPr>
      <w:r w:rsidRPr="00EC55AA">
        <w:rPr>
          <w:rFonts w:ascii="Times New Roman" w:hAnsi="Times New Roman" w:cs="Times New Roman"/>
          <w:b/>
          <w:bCs/>
        </w:rPr>
        <w:t>5. Kết luận</w:t>
      </w:r>
    </w:p>
    <w:p w:rsidR="00EC55AA"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Các kết quả phân tích cho thấy bài thi NOCN ESOL International đạt mức độ tin cậy cao và có giá trị đo lường phù hợp. Độ nhất quán nội bộ rất tốt, kết quả ổn định theo thời gian, và sự phân tầng năng lực rõ ràng theo CEFR là những bằng chứng quan trọng củng cố chất lượng của bài thi.</w:t>
      </w:r>
    </w:p>
    <w:p w:rsidR="00361B59" w:rsidRPr="00EC55AA" w:rsidRDefault="00EC55AA" w:rsidP="0091568F">
      <w:pPr>
        <w:spacing w:line="480" w:lineRule="auto"/>
        <w:ind w:firstLine="567"/>
        <w:rPr>
          <w:rFonts w:ascii="Times New Roman" w:hAnsi="Times New Roman" w:cs="Times New Roman"/>
        </w:rPr>
      </w:pPr>
      <w:r w:rsidRPr="00EC55AA">
        <w:rPr>
          <w:rFonts w:ascii="Times New Roman" w:hAnsi="Times New Roman" w:cs="Times New Roman"/>
        </w:rPr>
        <w:t>Những kết quả này khẳng định rằng bài thi có thể được sử dụng như một công cụ đáng tin cậy trong đánh giá năng lực tiếng Anh, phục vụ các mục đích học thuật và đào tạo. Việc tiếp tục duy trì các phân tích định kỳ sẽ góp phần đảm bảo chất lượng lâu dài của bài thi.</w:t>
      </w:r>
    </w:p>
    <w:p w:rsidR="00EC55AA" w:rsidRPr="00EC55AA" w:rsidRDefault="00EC55AA" w:rsidP="0091568F">
      <w:pPr>
        <w:spacing w:line="480" w:lineRule="auto"/>
        <w:rPr>
          <w:rFonts w:ascii="Times New Roman" w:hAnsi="Times New Roman" w:cs="Times New Roman"/>
        </w:rPr>
      </w:pPr>
    </w:p>
    <w:p w:rsidR="00EC55AA" w:rsidRPr="00EC55AA" w:rsidRDefault="00EC55AA" w:rsidP="0091568F">
      <w:pPr>
        <w:spacing w:line="480" w:lineRule="auto"/>
        <w:rPr>
          <w:rFonts w:ascii="Times New Roman" w:hAnsi="Times New Roman" w:cs="Times New Roman"/>
        </w:rPr>
      </w:pPr>
      <w:r w:rsidRPr="00EC55AA">
        <w:rPr>
          <w:rFonts w:ascii="Times New Roman" w:hAnsi="Times New Roman" w:cs="Times New Roman"/>
        </w:rPr>
        <w:br w:type="page"/>
      </w:r>
    </w:p>
    <w:p w:rsidR="00EC55AA" w:rsidRPr="00EC55AA" w:rsidRDefault="00EC55AA" w:rsidP="0091568F">
      <w:pPr>
        <w:spacing w:line="480" w:lineRule="auto"/>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lastRenderedPageBreak/>
        <w:t>Tài liệu tham khảo</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Bachman, L. F., &amp; Palmer, A. S. (1996). </w:t>
      </w:r>
      <w:r w:rsidRPr="00EC55AA">
        <w:rPr>
          <w:rFonts w:ascii="Times New Roman" w:eastAsia="Times New Roman" w:hAnsi="Times New Roman" w:cs="Times New Roman"/>
          <w:i/>
          <w:iCs/>
          <w:kern w:val="0"/>
          <w:lang w:eastAsia="en-GB"/>
          <w14:ligatures w14:val="none"/>
        </w:rPr>
        <w:t>Language testing in practice</w:t>
      </w:r>
      <w:r w:rsidRPr="00EC55AA">
        <w:rPr>
          <w:rFonts w:ascii="Times New Roman" w:eastAsia="Times New Roman" w:hAnsi="Times New Roman" w:cs="Times New Roman"/>
          <w:kern w:val="0"/>
          <w:lang w:eastAsia="en-GB"/>
          <w14:ligatures w14:val="none"/>
        </w:rPr>
        <w:t>. Oxford University Press.</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Council of Europe. (2001). </w:t>
      </w:r>
      <w:r w:rsidRPr="00EC55AA">
        <w:rPr>
          <w:rFonts w:ascii="Times New Roman" w:eastAsia="Times New Roman" w:hAnsi="Times New Roman" w:cs="Times New Roman"/>
          <w:i/>
          <w:iCs/>
          <w:kern w:val="0"/>
          <w:lang w:eastAsia="en-GB"/>
          <w14:ligatures w14:val="none"/>
        </w:rPr>
        <w:t>Common European Framework of Reference for Languages: Learning, teaching, assessment</w:t>
      </w:r>
      <w:r w:rsidRPr="00EC55AA">
        <w:rPr>
          <w:rFonts w:ascii="Times New Roman" w:eastAsia="Times New Roman" w:hAnsi="Times New Roman" w:cs="Times New Roman"/>
          <w:kern w:val="0"/>
          <w:lang w:eastAsia="en-GB"/>
          <w14:ligatures w14:val="none"/>
        </w:rPr>
        <w:t>. Cambridge University Press.</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Cronbach, L. J. (1951). Coefficient alpha and the internal structure of tests. </w:t>
      </w:r>
      <w:r w:rsidRPr="00EC55AA">
        <w:rPr>
          <w:rFonts w:ascii="Times New Roman" w:eastAsia="Times New Roman" w:hAnsi="Times New Roman" w:cs="Times New Roman"/>
          <w:i/>
          <w:iCs/>
          <w:kern w:val="0"/>
          <w:lang w:eastAsia="en-GB"/>
          <w14:ligatures w14:val="none"/>
        </w:rPr>
        <w:t>Psychometrika</w:t>
      </w:r>
      <w:r w:rsidRPr="00EC55AA">
        <w:rPr>
          <w:rFonts w:ascii="Times New Roman" w:eastAsia="Times New Roman" w:hAnsi="Times New Roman" w:cs="Times New Roman"/>
          <w:kern w:val="0"/>
          <w:lang w:eastAsia="en-GB"/>
          <w14:ligatures w14:val="none"/>
        </w:rPr>
        <w:t>, 16(3), 297–334.</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DeVellis, R. F. (2016). </w:t>
      </w:r>
      <w:r w:rsidRPr="00EC55AA">
        <w:rPr>
          <w:rFonts w:ascii="Times New Roman" w:eastAsia="Times New Roman" w:hAnsi="Times New Roman" w:cs="Times New Roman"/>
          <w:i/>
          <w:iCs/>
          <w:kern w:val="0"/>
          <w:lang w:eastAsia="en-GB"/>
          <w14:ligatures w14:val="none"/>
        </w:rPr>
        <w:t>Scale development: Theory and applications</w:t>
      </w:r>
      <w:r w:rsidRPr="00EC55AA">
        <w:rPr>
          <w:rFonts w:ascii="Times New Roman" w:eastAsia="Times New Roman" w:hAnsi="Times New Roman" w:cs="Times New Roman"/>
          <w:kern w:val="0"/>
          <w:lang w:eastAsia="en-GB"/>
          <w14:ligatures w14:val="none"/>
        </w:rPr>
        <w:t xml:space="preserve"> (4th ed.). Sage Publications.</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Field, A. (2018). </w:t>
      </w:r>
      <w:r w:rsidRPr="00EC55AA">
        <w:rPr>
          <w:rFonts w:ascii="Times New Roman" w:eastAsia="Times New Roman" w:hAnsi="Times New Roman" w:cs="Times New Roman"/>
          <w:i/>
          <w:iCs/>
          <w:kern w:val="0"/>
          <w:lang w:eastAsia="en-GB"/>
          <w14:ligatures w14:val="none"/>
        </w:rPr>
        <w:t>Discovering statistics using IBM SPSS statistics</w:t>
      </w:r>
      <w:r w:rsidRPr="00EC55AA">
        <w:rPr>
          <w:rFonts w:ascii="Times New Roman" w:eastAsia="Times New Roman" w:hAnsi="Times New Roman" w:cs="Times New Roman"/>
          <w:kern w:val="0"/>
          <w:lang w:eastAsia="en-GB"/>
          <w14:ligatures w14:val="none"/>
        </w:rPr>
        <w:t xml:space="preserve"> (5th ed.). Sage Publications.</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Fulcher, G., &amp; Davidson, F. (2007). </w:t>
      </w:r>
      <w:r w:rsidRPr="00EC55AA">
        <w:rPr>
          <w:rFonts w:ascii="Times New Roman" w:eastAsia="Times New Roman" w:hAnsi="Times New Roman" w:cs="Times New Roman"/>
          <w:i/>
          <w:iCs/>
          <w:kern w:val="0"/>
          <w:lang w:eastAsia="en-GB"/>
          <w14:ligatures w14:val="none"/>
        </w:rPr>
        <w:t>Language testing and assessment: An advanced resource book</w:t>
      </w:r>
      <w:r w:rsidRPr="00EC55AA">
        <w:rPr>
          <w:rFonts w:ascii="Times New Roman" w:eastAsia="Times New Roman" w:hAnsi="Times New Roman" w:cs="Times New Roman"/>
          <w:kern w:val="0"/>
          <w:lang w:eastAsia="en-GB"/>
          <w14:ligatures w14:val="none"/>
        </w:rPr>
        <w:t>. Routledge.</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Kane, M. T. (2013). Validating the interpretations and uses of test scores. </w:t>
      </w:r>
      <w:r w:rsidRPr="00EC55AA">
        <w:rPr>
          <w:rFonts w:ascii="Times New Roman" w:eastAsia="Times New Roman" w:hAnsi="Times New Roman" w:cs="Times New Roman"/>
          <w:i/>
          <w:iCs/>
          <w:kern w:val="0"/>
          <w:lang w:eastAsia="en-GB"/>
          <w14:ligatures w14:val="none"/>
        </w:rPr>
        <w:t>Journal of Educational Measurement</w:t>
      </w:r>
      <w:r w:rsidRPr="00EC55AA">
        <w:rPr>
          <w:rFonts w:ascii="Times New Roman" w:eastAsia="Times New Roman" w:hAnsi="Times New Roman" w:cs="Times New Roman"/>
          <w:kern w:val="0"/>
          <w:lang w:eastAsia="en-GB"/>
          <w14:ligatures w14:val="none"/>
        </w:rPr>
        <w:t>, 50(1), 1</w:t>
      </w:r>
      <w:r>
        <w:rPr>
          <w:rFonts w:ascii="Times New Roman" w:eastAsia="Times New Roman" w:hAnsi="Times New Roman" w:cs="Times New Roman"/>
          <w:kern w:val="0"/>
          <w:lang w:eastAsia="en-GB"/>
          <w14:ligatures w14:val="none"/>
        </w:rPr>
        <w:t>-</w:t>
      </w:r>
      <w:r w:rsidRPr="00EC55AA">
        <w:rPr>
          <w:rFonts w:ascii="Times New Roman" w:eastAsia="Times New Roman" w:hAnsi="Times New Roman" w:cs="Times New Roman"/>
          <w:kern w:val="0"/>
          <w:lang w:eastAsia="en-GB"/>
          <w14:ligatures w14:val="none"/>
        </w:rPr>
        <w:t>73.</w:t>
      </w:r>
    </w:p>
    <w:p w:rsidR="00EC55AA" w:rsidRP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Messick, S. (1989). Validity. In R. L. Linn (Ed.), </w:t>
      </w:r>
      <w:r w:rsidRPr="00EC55AA">
        <w:rPr>
          <w:rFonts w:ascii="Times New Roman" w:eastAsia="Times New Roman" w:hAnsi="Times New Roman" w:cs="Times New Roman"/>
          <w:i/>
          <w:iCs/>
          <w:kern w:val="0"/>
          <w:lang w:eastAsia="en-GB"/>
          <w14:ligatures w14:val="none"/>
        </w:rPr>
        <w:t>Educational measurement</w:t>
      </w:r>
      <w:r w:rsidRPr="00EC55AA">
        <w:rPr>
          <w:rFonts w:ascii="Times New Roman" w:eastAsia="Times New Roman" w:hAnsi="Times New Roman" w:cs="Times New Roman"/>
          <w:kern w:val="0"/>
          <w:lang w:eastAsia="en-GB"/>
          <w14:ligatures w14:val="none"/>
        </w:rPr>
        <w:t xml:space="preserve"> (3rd ed., pp. 13–103). American Council on Education.</w:t>
      </w:r>
    </w:p>
    <w:p w:rsidR="00EC55AA" w:rsidRDefault="00EC55AA" w:rsidP="0091568F">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Weir, C. J. (2005). </w:t>
      </w:r>
      <w:r w:rsidRPr="00EC55AA">
        <w:rPr>
          <w:rFonts w:ascii="Times New Roman" w:eastAsia="Times New Roman" w:hAnsi="Times New Roman" w:cs="Times New Roman"/>
          <w:i/>
          <w:iCs/>
          <w:kern w:val="0"/>
          <w:lang w:eastAsia="en-GB"/>
          <w14:ligatures w14:val="none"/>
        </w:rPr>
        <w:t>Language testing and validation: An evidence-based approach</w:t>
      </w:r>
      <w:r w:rsidRPr="00EC55AA">
        <w:rPr>
          <w:rFonts w:ascii="Times New Roman" w:eastAsia="Times New Roman" w:hAnsi="Times New Roman" w:cs="Times New Roman"/>
          <w:kern w:val="0"/>
          <w:lang w:eastAsia="en-GB"/>
          <w14:ligatures w14:val="none"/>
        </w:rPr>
        <w:t>. Palgrave Macmillan.</w:t>
      </w:r>
    </w:p>
    <w:p w:rsidR="00EC55AA" w:rsidRDefault="00EC55AA" w:rsidP="0091568F">
      <w:pPr>
        <w:spacing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rsidR="00EC55AA" w:rsidRDefault="00EC55AA" w:rsidP="0091568F">
      <w:pPr>
        <w:spacing w:line="480" w:lineRule="auto"/>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b/>
          <w:bCs/>
          <w:kern w:val="0"/>
          <w:lang w:eastAsia="en-GB"/>
          <w14:ligatures w14:val="none"/>
        </w:rPr>
        <w:lastRenderedPageBreak/>
        <w:t>CRITERION 14</w:t>
      </w:r>
    </w:p>
    <w:p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 xml:space="preserve">An </w:t>
      </w:r>
      <w:r w:rsidRPr="00EC55AA">
        <w:rPr>
          <w:rFonts w:ascii="Times New Roman" w:eastAsia="Times New Roman" w:hAnsi="Times New Roman" w:cs="Times New Roman"/>
          <w:b/>
          <w:bCs/>
          <w:kern w:val="0"/>
          <w:lang w:eastAsia="en-GB"/>
          <w14:ligatures w14:val="none"/>
        </w:rPr>
        <w:t>a</w:t>
      </w:r>
      <w:r w:rsidRPr="00EC55AA">
        <w:rPr>
          <w:rFonts w:ascii="Times New Roman" w:eastAsia="Times New Roman" w:hAnsi="Times New Roman" w:cs="Times New Roman"/>
          <w:b/>
          <w:bCs/>
          <w:kern w:val="0"/>
          <w:lang w:eastAsia="en-GB"/>
          <w14:ligatures w14:val="none"/>
        </w:rPr>
        <w:t xml:space="preserve">nalysis of </w:t>
      </w:r>
      <w:r w:rsidRPr="00EC55AA">
        <w:rPr>
          <w:rFonts w:ascii="Times New Roman" w:eastAsia="Times New Roman" w:hAnsi="Times New Roman" w:cs="Times New Roman"/>
          <w:b/>
          <w:bCs/>
          <w:kern w:val="0"/>
          <w:lang w:eastAsia="en-GB"/>
          <w14:ligatures w14:val="none"/>
        </w:rPr>
        <w:t>r</w:t>
      </w:r>
      <w:r w:rsidRPr="00EC55AA">
        <w:rPr>
          <w:rFonts w:ascii="Times New Roman" w:eastAsia="Times New Roman" w:hAnsi="Times New Roman" w:cs="Times New Roman"/>
          <w:b/>
          <w:bCs/>
          <w:kern w:val="0"/>
          <w:lang w:eastAsia="en-GB"/>
          <w14:ligatures w14:val="none"/>
        </w:rPr>
        <w:t xml:space="preserve">eliability, </w:t>
      </w:r>
      <w:r w:rsidRPr="00EC55AA">
        <w:rPr>
          <w:rFonts w:ascii="Times New Roman" w:eastAsia="Times New Roman" w:hAnsi="Times New Roman" w:cs="Times New Roman"/>
          <w:b/>
          <w:bCs/>
          <w:kern w:val="0"/>
          <w:lang w:eastAsia="en-GB"/>
          <w14:ligatures w14:val="none"/>
        </w:rPr>
        <w:t>v</w:t>
      </w:r>
      <w:r w:rsidRPr="00EC55AA">
        <w:rPr>
          <w:rFonts w:ascii="Times New Roman" w:eastAsia="Times New Roman" w:hAnsi="Times New Roman" w:cs="Times New Roman"/>
          <w:b/>
          <w:bCs/>
          <w:kern w:val="0"/>
          <w:lang w:eastAsia="en-GB"/>
          <w14:ligatures w14:val="none"/>
        </w:rPr>
        <w:t xml:space="preserve">alidity, and </w:t>
      </w:r>
      <w:r w:rsidRPr="00EC55AA">
        <w:rPr>
          <w:rFonts w:ascii="Times New Roman" w:eastAsia="Times New Roman" w:hAnsi="Times New Roman" w:cs="Times New Roman"/>
          <w:b/>
          <w:bCs/>
          <w:kern w:val="0"/>
          <w:lang w:eastAsia="en-GB"/>
          <w14:ligatures w14:val="none"/>
        </w:rPr>
        <w:t>s</w:t>
      </w:r>
      <w:r w:rsidRPr="00EC55AA">
        <w:rPr>
          <w:rFonts w:ascii="Times New Roman" w:eastAsia="Times New Roman" w:hAnsi="Times New Roman" w:cs="Times New Roman"/>
          <w:b/>
          <w:bCs/>
          <w:kern w:val="0"/>
          <w:lang w:eastAsia="en-GB"/>
          <w14:ligatures w14:val="none"/>
        </w:rPr>
        <w:t xml:space="preserve">core </w:t>
      </w:r>
      <w:r w:rsidRPr="00EC55AA">
        <w:rPr>
          <w:rFonts w:ascii="Times New Roman" w:eastAsia="Times New Roman" w:hAnsi="Times New Roman" w:cs="Times New Roman"/>
          <w:b/>
          <w:bCs/>
          <w:kern w:val="0"/>
          <w:lang w:eastAsia="en-GB"/>
          <w14:ligatures w14:val="none"/>
        </w:rPr>
        <w:t>s</w:t>
      </w:r>
      <w:r w:rsidRPr="00EC55AA">
        <w:rPr>
          <w:rFonts w:ascii="Times New Roman" w:eastAsia="Times New Roman" w:hAnsi="Times New Roman" w:cs="Times New Roman"/>
          <w:b/>
          <w:bCs/>
          <w:kern w:val="0"/>
          <w:lang w:eastAsia="en-GB"/>
          <w14:ligatures w14:val="none"/>
        </w:rPr>
        <w:t xml:space="preserve">tability </w:t>
      </w:r>
    </w:p>
    <w:p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 xml:space="preserve">of the NOCN ESOL International </w:t>
      </w:r>
      <w:r w:rsidRPr="00EC55AA">
        <w:rPr>
          <w:rFonts w:ascii="Times New Roman" w:eastAsia="Times New Roman" w:hAnsi="Times New Roman" w:cs="Times New Roman"/>
          <w:b/>
          <w:bCs/>
          <w:kern w:val="0"/>
          <w:lang w:eastAsia="en-GB"/>
          <w14:ligatures w14:val="none"/>
        </w:rPr>
        <w:t>e</w:t>
      </w:r>
      <w:r w:rsidRPr="00EC55AA">
        <w:rPr>
          <w:rFonts w:ascii="Times New Roman" w:eastAsia="Times New Roman" w:hAnsi="Times New Roman" w:cs="Times New Roman"/>
          <w:b/>
          <w:bCs/>
          <w:kern w:val="0"/>
          <w:lang w:eastAsia="en-GB"/>
          <w14:ligatures w14:val="none"/>
        </w:rPr>
        <w:t xml:space="preserve">xamination: </w:t>
      </w:r>
    </w:p>
    <w:p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e</w:t>
      </w:r>
      <w:r w:rsidRPr="00EC55AA">
        <w:rPr>
          <w:rFonts w:ascii="Times New Roman" w:eastAsia="Times New Roman" w:hAnsi="Times New Roman" w:cs="Times New Roman"/>
          <w:b/>
          <w:bCs/>
          <w:kern w:val="0"/>
          <w:lang w:eastAsia="en-GB"/>
          <w14:ligatures w14:val="none"/>
        </w:rPr>
        <w:t xml:space="preserve">vidence from a </w:t>
      </w:r>
      <w:r w:rsidRPr="00EC55AA">
        <w:rPr>
          <w:rFonts w:ascii="Times New Roman" w:eastAsia="Times New Roman" w:hAnsi="Times New Roman" w:cs="Times New Roman"/>
          <w:b/>
          <w:bCs/>
          <w:kern w:val="0"/>
          <w:lang w:eastAsia="en-GB"/>
          <w14:ligatures w14:val="none"/>
        </w:rPr>
        <w:t>m</w:t>
      </w:r>
      <w:r w:rsidRPr="00EC55AA">
        <w:rPr>
          <w:rFonts w:ascii="Times New Roman" w:eastAsia="Times New Roman" w:hAnsi="Times New Roman" w:cs="Times New Roman"/>
          <w:b/>
          <w:bCs/>
          <w:kern w:val="0"/>
          <w:lang w:eastAsia="en-GB"/>
          <w14:ligatures w14:val="none"/>
        </w:rPr>
        <w:t>ulti-</w:t>
      </w:r>
      <w:r w:rsidRPr="00EC55AA">
        <w:rPr>
          <w:rFonts w:ascii="Times New Roman" w:eastAsia="Times New Roman" w:hAnsi="Times New Roman" w:cs="Times New Roman"/>
          <w:b/>
          <w:bCs/>
          <w:kern w:val="0"/>
          <w:lang w:eastAsia="en-GB"/>
          <w14:ligatures w14:val="none"/>
        </w:rPr>
        <w:t>c</w:t>
      </w:r>
      <w:r w:rsidRPr="00EC55AA">
        <w:rPr>
          <w:rFonts w:ascii="Times New Roman" w:eastAsia="Times New Roman" w:hAnsi="Times New Roman" w:cs="Times New Roman"/>
          <w:b/>
          <w:bCs/>
          <w:kern w:val="0"/>
          <w:lang w:eastAsia="en-GB"/>
          <w14:ligatures w14:val="none"/>
        </w:rPr>
        <w:t xml:space="preserve">ountry </w:t>
      </w:r>
      <w:r w:rsidRPr="00EC55AA">
        <w:rPr>
          <w:rFonts w:ascii="Times New Roman" w:eastAsia="Times New Roman" w:hAnsi="Times New Roman" w:cs="Times New Roman"/>
          <w:b/>
          <w:bCs/>
          <w:kern w:val="0"/>
          <w:lang w:eastAsia="en-GB"/>
          <w14:ligatures w14:val="none"/>
        </w:rPr>
        <w:t>s</w:t>
      </w:r>
      <w:r w:rsidRPr="00EC55AA">
        <w:rPr>
          <w:rFonts w:ascii="Times New Roman" w:eastAsia="Times New Roman" w:hAnsi="Times New Roman" w:cs="Times New Roman"/>
          <w:b/>
          <w:bCs/>
          <w:kern w:val="0"/>
          <w:lang w:eastAsia="en-GB"/>
          <w14:ligatures w14:val="none"/>
        </w:rPr>
        <w:t xml:space="preserve">tudy </w:t>
      </w:r>
      <w:r w:rsidRPr="00EC55AA">
        <w:rPr>
          <w:rFonts w:ascii="Times New Roman" w:eastAsia="Times New Roman" w:hAnsi="Times New Roman" w:cs="Times New Roman"/>
          <w:b/>
          <w:bCs/>
          <w:kern w:val="0"/>
          <w:lang w:eastAsia="en-GB"/>
          <w14:ligatures w14:val="none"/>
        </w:rPr>
        <w:t>c</w:t>
      </w:r>
      <w:r w:rsidRPr="00EC55AA">
        <w:rPr>
          <w:rFonts w:ascii="Times New Roman" w:eastAsia="Times New Roman" w:hAnsi="Times New Roman" w:cs="Times New Roman"/>
          <w:b/>
          <w:bCs/>
          <w:kern w:val="0"/>
          <w:lang w:eastAsia="en-GB"/>
          <w14:ligatures w14:val="none"/>
        </w:rPr>
        <w:t xml:space="preserve">onducted in the </w:t>
      </w:r>
      <w:r w:rsidRPr="00EC55AA">
        <w:rPr>
          <w:rFonts w:ascii="Times New Roman" w:eastAsia="Times New Roman" w:hAnsi="Times New Roman" w:cs="Times New Roman"/>
          <w:b/>
          <w:bCs/>
          <w:kern w:val="0"/>
          <w:lang w:eastAsia="en-GB"/>
          <w14:ligatures w14:val="none"/>
        </w:rPr>
        <w:t>f</w:t>
      </w:r>
      <w:r w:rsidRPr="00EC55AA">
        <w:rPr>
          <w:rFonts w:ascii="Times New Roman" w:eastAsia="Times New Roman" w:hAnsi="Times New Roman" w:cs="Times New Roman"/>
          <w:b/>
          <w:bCs/>
          <w:kern w:val="0"/>
          <w:lang w:eastAsia="en-GB"/>
          <w14:ligatures w14:val="none"/>
        </w:rPr>
        <w:t xml:space="preserve">inal </w:t>
      </w:r>
      <w:r w:rsidRPr="00EC55AA">
        <w:rPr>
          <w:rFonts w:ascii="Times New Roman" w:eastAsia="Times New Roman" w:hAnsi="Times New Roman" w:cs="Times New Roman"/>
          <w:b/>
          <w:bCs/>
          <w:kern w:val="0"/>
          <w:lang w:eastAsia="en-GB"/>
          <w14:ligatures w14:val="none"/>
        </w:rPr>
        <w:t>f</w:t>
      </w:r>
      <w:r w:rsidRPr="00EC55AA">
        <w:rPr>
          <w:rFonts w:ascii="Times New Roman" w:eastAsia="Times New Roman" w:hAnsi="Times New Roman" w:cs="Times New Roman"/>
          <w:b/>
          <w:bCs/>
          <w:kern w:val="0"/>
          <w:lang w:eastAsia="en-GB"/>
          <w14:ligatures w14:val="none"/>
        </w:rPr>
        <w:t xml:space="preserve">our </w:t>
      </w:r>
      <w:r w:rsidRPr="00EC55AA">
        <w:rPr>
          <w:rFonts w:ascii="Times New Roman" w:eastAsia="Times New Roman" w:hAnsi="Times New Roman" w:cs="Times New Roman"/>
          <w:b/>
          <w:bCs/>
          <w:kern w:val="0"/>
          <w:lang w:eastAsia="en-GB"/>
          <w14:ligatures w14:val="none"/>
        </w:rPr>
        <w:t>m</w:t>
      </w:r>
      <w:r w:rsidRPr="00EC55AA">
        <w:rPr>
          <w:rFonts w:ascii="Times New Roman" w:eastAsia="Times New Roman" w:hAnsi="Times New Roman" w:cs="Times New Roman"/>
          <w:b/>
          <w:bCs/>
          <w:kern w:val="0"/>
          <w:lang w:eastAsia="en-GB"/>
          <w14:ligatures w14:val="none"/>
        </w:rPr>
        <w:t>onths of 2025</w:t>
      </w:r>
    </w:p>
    <w:p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p>
    <w:p w:rsidR="00EC55AA" w:rsidRPr="0091568F" w:rsidRDefault="0091568F" w:rsidP="0091568F">
      <w:pPr>
        <w:spacing w:line="480" w:lineRule="auto"/>
        <w:jc w:val="both"/>
        <w:rPr>
          <w:rFonts w:ascii="Times New Roman" w:eastAsia="Times New Roman" w:hAnsi="Times New Roman" w:cs="Times New Roman"/>
          <w:b/>
          <w:bCs/>
          <w:kern w:val="0"/>
          <w:lang w:eastAsia="en-GB"/>
          <w14:ligatures w14:val="none"/>
        </w:rPr>
      </w:pPr>
      <w:r w:rsidRPr="0091568F">
        <w:rPr>
          <w:rFonts w:ascii="Times New Roman" w:eastAsia="Times New Roman" w:hAnsi="Times New Roman" w:cs="Times New Roman"/>
          <w:b/>
          <w:bCs/>
          <w:kern w:val="0"/>
          <w:lang w:eastAsia="en-GB"/>
          <w14:ligatures w14:val="none"/>
        </w:rPr>
        <w:t>Abstract</w:t>
      </w:r>
    </w:p>
    <w:p w:rsidR="0091568F" w:rsidRPr="00EC55AA" w:rsidRDefault="0091568F" w:rsidP="0091568F">
      <w:pPr>
        <w:spacing w:line="480" w:lineRule="auto"/>
        <w:ind w:firstLine="567"/>
        <w:jc w:val="both"/>
        <w:rPr>
          <w:rFonts w:ascii="Times New Roman" w:eastAsia="Times New Roman" w:hAnsi="Times New Roman" w:cs="Times New Roman"/>
          <w:kern w:val="0"/>
          <w:lang w:eastAsia="en-GB"/>
          <w14:ligatures w14:val="none"/>
        </w:rPr>
      </w:pPr>
      <w:r w:rsidRPr="0091568F">
        <w:rPr>
          <w:rFonts w:ascii="Times New Roman" w:eastAsia="Times New Roman" w:hAnsi="Times New Roman" w:cs="Times New Roman"/>
          <w:kern w:val="0"/>
          <w:lang w:eastAsia="en-GB"/>
          <w14:ligatures w14:val="none"/>
        </w:rPr>
        <w:t>The report aims to present empirical evidence on the reliability and validity of the NOCN ESOL International examination. The data was collected from 1,258 candidates who undertook the NOCN ESOL International examination on different occasions in different countries. The reliability was determined by internal consistency reliability (Cronbach’s Alpha), and the validity was determined by the CEFR and the distribution of scores at different levels of proficiency. The empirical findings indicated a high level of internal consistency reliability (α = 0.905), stable distribution of scores in different examinations of the NOCN ESOL International examination, and clear development in proficiency from one level to another in the range of A2 to C1 levels. This demonstrated that the NOCN ESOL International examination results in reliable and valid outcomes in measuring the proficiency in the English language. The report demonstrated that the NOCN ESOL International examination results in reliable and valid outcomes in measuring the proficiency in the English language.</w:t>
      </w:r>
    </w:p>
    <w:p w:rsidR="00EC55AA" w:rsidRDefault="00EC55AA" w:rsidP="0091568F">
      <w:pPr>
        <w:spacing w:line="480" w:lineRule="auto"/>
        <w:rPr>
          <w:rFonts w:ascii="Times New Roman" w:hAnsi="Times New Roman" w:cs="Times New Roman"/>
          <w:b/>
          <w:bCs/>
        </w:rPr>
      </w:pPr>
    </w:p>
    <w:p w:rsidR="0091568F" w:rsidRDefault="0091568F" w:rsidP="0091568F">
      <w:pPr>
        <w:spacing w:line="480" w:lineRule="auto"/>
        <w:rPr>
          <w:rFonts w:ascii="Times New Roman" w:hAnsi="Times New Roman" w:cs="Times New Roman"/>
          <w:b/>
          <w:bCs/>
        </w:rPr>
      </w:pPr>
      <w:r>
        <w:rPr>
          <w:rFonts w:ascii="Times New Roman" w:hAnsi="Times New Roman" w:cs="Times New Roman"/>
          <w:b/>
          <w:bCs/>
        </w:rPr>
        <w:t>1. Objective</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 xml:space="preserve">The objectives of this report are to establish evidence of the reliability and validity of the NOCN ESOL International examination, while at the same time evaluating the reliability of the examination over time and across different groups of candidates. Such evaluation is important to </w:t>
      </w:r>
      <w:r w:rsidRPr="0091568F">
        <w:rPr>
          <w:rFonts w:ascii="Times New Roman" w:hAnsi="Times New Roman" w:cs="Times New Roman"/>
        </w:rPr>
        <w:lastRenderedPageBreak/>
        <w:t>establish the suitability of the examination to be used as a reliable tool in measuring English proficiency in accordance with the Common European Framework of Reference for Languages (CEFR).</w:t>
      </w:r>
    </w:p>
    <w:p w:rsid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Reliability and validity are widely acknowledged in the language assessment domain to be critical factors in evaluating the quality of any examination (Bachman &amp; Palmer, 1996). An examination is deemed to have value if the results obtained are reliable and accurately measure the intended construct. As a result, evaluating these factors is important in building the theoretical base of the examination.</w:t>
      </w:r>
    </w:p>
    <w:p w:rsid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 Methodology</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analysis was based on a data set containing 1,258 candidates who undertook the NOCN ESOL International exam across various countries such as Russia, Greece, India, and the UAE between September and December 2025. The data set included scores on the four skills: Listening, Reading, Writing, and Speaking. Additionally, data on the level and date of the test was included.</w:t>
      </w:r>
    </w:p>
    <w:p w:rsidR="0091568F" w:rsidRP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2.1. Reliability</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In determining the reliability of the data set, Cronbach’s Alpha was employed. Cronbach’s Alpha is a standard approach to measuring internal consistency in tests (Cronbach, 1951).</w:t>
      </w:r>
    </w:p>
    <w:p w:rsidR="0091568F" w:rsidRP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2.2. Analysis by </w:t>
      </w:r>
      <w:r>
        <w:rPr>
          <w:rFonts w:ascii="Times New Roman" w:hAnsi="Times New Roman" w:cs="Times New Roman"/>
          <w:b/>
          <w:bCs/>
        </w:rPr>
        <w:t>t</w:t>
      </w:r>
      <w:r w:rsidRPr="0091568F">
        <w:rPr>
          <w:rFonts w:ascii="Times New Roman" w:hAnsi="Times New Roman" w:cs="Times New Roman"/>
          <w:b/>
          <w:bCs/>
        </w:rPr>
        <w:t xml:space="preserve">ime and </w:t>
      </w:r>
      <w:r>
        <w:rPr>
          <w:rFonts w:ascii="Times New Roman" w:hAnsi="Times New Roman" w:cs="Times New Roman"/>
          <w:b/>
          <w:bCs/>
        </w:rPr>
        <w:t>c</w:t>
      </w:r>
      <w:r w:rsidRPr="0091568F">
        <w:rPr>
          <w:rFonts w:ascii="Times New Roman" w:hAnsi="Times New Roman" w:cs="Times New Roman"/>
          <w:b/>
          <w:bCs/>
        </w:rPr>
        <w:t xml:space="preserve">andidate </w:t>
      </w:r>
      <w:r>
        <w:rPr>
          <w:rFonts w:ascii="Times New Roman" w:hAnsi="Times New Roman" w:cs="Times New Roman"/>
          <w:b/>
          <w:bCs/>
        </w:rPr>
        <w:t>g</w:t>
      </w:r>
      <w:r w:rsidRPr="0091568F">
        <w:rPr>
          <w:rFonts w:ascii="Times New Roman" w:hAnsi="Times New Roman" w:cs="Times New Roman"/>
          <w:b/>
          <w:bCs/>
        </w:rPr>
        <w:t>roups</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lastRenderedPageBreak/>
        <w:t>In evaluating the reliability of the data set, the scores were analyzed across different periods to determine their stability. Additionally, the scores were analyzed across different candidate groups to determine any potential differences.</w:t>
      </w:r>
    </w:p>
    <w:p w:rsidR="0091568F" w:rsidRP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2.3. Validity</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In determining the validity of the data set, the following approaches were employed:</w:t>
      </w:r>
    </w:p>
    <w:p w:rsidR="0091568F" w:rsidRPr="0091568F" w:rsidRDefault="0091568F" w:rsidP="0091568F">
      <w:pPr>
        <w:pStyle w:val="ListParagraph"/>
        <w:numPr>
          <w:ilvl w:val="0"/>
          <w:numId w:val="2"/>
        </w:numPr>
        <w:spacing w:line="480" w:lineRule="auto"/>
        <w:rPr>
          <w:rFonts w:ascii="Times New Roman" w:hAnsi="Times New Roman" w:cs="Times New Roman"/>
        </w:rPr>
      </w:pPr>
      <w:r w:rsidRPr="0091568F">
        <w:rPr>
          <w:rFonts w:ascii="Times New Roman" w:hAnsi="Times New Roman" w:cs="Times New Roman"/>
        </w:rPr>
        <w:t>Content Validity: This relates to the alignment between the content and CEFR.</w:t>
      </w:r>
    </w:p>
    <w:p w:rsidR="0091568F" w:rsidRPr="0091568F" w:rsidRDefault="0091568F" w:rsidP="0091568F">
      <w:pPr>
        <w:pStyle w:val="ListParagraph"/>
        <w:numPr>
          <w:ilvl w:val="0"/>
          <w:numId w:val="2"/>
        </w:numPr>
        <w:spacing w:line="480" w:lineRule="auto"/>
        <w:rPr>
          <w:rFonts w:ascii="Times New Roman" w:hAnsi="Times New Roman" w:cs="Times New Roman"/>
        </w:rPr>
      </w:pPr>
      <w:r w:rsidRPr="0091568F">
        <w:rPr>
          <w:rFonts w:ascii="Times New Roman" w:hAnsi="Times New Roman" w:cs="Times New Roman"/>
        </w:rPr>
        <w:t>Construct Validity: This relates to the alignment between the construct and CEFR.</w:t>
      </w:r>
    </w:p>
    <w:p w:rsidR="0091568F" w:rsidRPr="0091568F" w:rsidRDefault="0091568F" w:rsidP="0091568F">
      <w:pPr>
        <w:pStyle w:val="ListParagraph"/>
        <w:numPr>
          <w:ilvl w:val="0"/>
          <w:numId w:val="2"/>
        </w:numPr>
        <w:spacing w:line="480" w:lineRule="auto"/>
        <w:rPr>
          <w:rFonts w:ascii="Times New Roman" w:hAnsi="Times New Roman" w:cs="Times New Roman"/>
        </w:rPr>
      </w:pPr>
      <w:r w:rsidRPr="0091568F">
        <w:rPr>
          <w:rFonts w:ascii="Times New Roman" w:hAnsi="Times New Roman" w:cs="Times New Roman"/>
        </w:rPr>
        <w:t>Alignment to CEFR: This relates to the alignment between the results and CEFR.</w:t>
      </w:r>
    </w:p>
    <w:p w:rsidR="0091568F" w:rsidRDefault="0091568F" w:rsidP="0091568F">
      <w:pPr>
        <w:spacing w:line="480" w:lineRule="auto"/>
        <w:rPr>
          <w:rFonts w:ascii="Times New Roman" w:hAnsi="Times New Roman" w:cs="Times New Roman"/>
        </w:rPr>
      </w:pPr>
      <w:r w:rsidRPr="0091568F">
        <w:rPr>
          <w:rFonts w:ascii="Times New Roman" w:hAnsi="Times New Roman" w:cs="Times New Roman"/>
        </w:rPr>
        <w:t>This approach to validity is in line with the contemporary approach to language assessment (Messick, 1989; Weir, 2005).</w:t>
      </w:r>
    </w:p>
    <w:p w:rsid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3. Key </w:t>
      </w:r>
      <w:r>
        <w:rPr>
          <w:rFonts w:ascii="Times New Roman" w:hAnsi="Times New Roman" w:cs="Times New Roman"/>
          <w:b/>
          <w:bCs/>
        </w:rPr>
        <w:t>f</w:t>
      </w:r>
      <w:r w:rsidRPr="0091568F">
        <w:rPr>
          <w:rFonts w:ascii="Times New Roman" w:hAnsi="Times New Roman" w:cs="Times New Roman"/>
          <w:b/>
          <w:bCs/>
        </w:rPr>
        <w:t>indings</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analysis of the results suggests that the test is reliable to a very high degree. The overall Cronbach's Alpha = 0.905, which is well above the acceptable limit for a standardized assessment of ≥ 0.8 (DeVellis, 2016).</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overall mean score is 21.44/33 with a standard deviation of 4.86. The overall percentage of students who passed is 82.8%.</w:t>
      </w:r>
    </w:p>
    <w:p w:rsidR="0091568F" w:rsidRP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3.1. By </w:t>
      </w:r>
      <w:r>
        <w:rPr>
          <w:rFonts w:ascii="Times New Roman" w:hAnsi="Times New Roman" w:cs="Times New Roman"/>
          <w:b/>
          <w:bCs/>
        </w:rPr>
        <w:t>c</w:t>
      </w:r>
      <w:r w:rsidRPr="0091568F">
        <w:rPr>
          <w:rFonts w:ascii="Times New Roman" w:hAnsi="Times New Roman" w:cs="Times New Roman"/>
          <w:b/>
          <w:bCs/>
        </w:rPr>
        <w:t>ountry</w:t>
      </w:r>
    </w:p>
    <w:p w:rsid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mean scores varied from 20.30 to 22.33. The overall percentage of students who passed varied from 74.2 to 88.3%. Though there is some variation between the countries, there is no significant variation to indicate that there is a problem with the performance of the test.</w:t>
      </w: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lastRenderedPageBreak/>
        <w:t xml:space="preserve">3.2. Over </w:t>
      </w:r>
      <w:r w:rsidRPr="0091568F">
        <w:rPr>
          <w:rFonts w:ascii="Times New Roman" w:hAnsi="Times New Roman" w:cs="Times New Roman"/>
          <w:b/>
          <w:bCs/>
        </w:rPr>
        <w:t>t</w:t>
      </w:r>
      <w:r w:rsidRPr="0091568F">
        <w:rPr>
          <w:rFonts w:ascii="Times New Roman" w:hAnsi="Times New Roman" w:cs="Times New Roman"/>
          <w:b/>
          <w:bCs/>
        </w:rPr>
        <w:t>ime</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scores of the tests conducted at different times were relatively consistent. The mean scores varied from 20.30 to 22.33. There is no fluctuation in the scores to indicate that there is a problem with the performance of the test.</w:t>
      </w:r>
    </w:p>
    <w:p w:rsidR="0091568F" w:rsidRP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3.3. By </w:t>
      </w:r>
      <w:r w:rsidRPr="0091568F">
        <w:rPr>
          <w:rFonts w:ascii="Times New Roman" w:hAnsi="Times New Roman" w:cs="Times New Roman"/>
          <w:b/>
          <w:bCs/>
        </w:rPr>
        <w:t>p</w:t>
      </w:r>
      <w:r w:rsidRPr="0091568F">
        <w:rPr>
          <w:rFonts w:ascii="Times New Roman" w:hAnsi="Times New Roman" w:cs="Times New Roman"/>
          <w:b/>
          <w:bCs/>
        </w:rPr>
        <w:t xml:space="preserve">roficiency </w:t>
      </w:r>
      <w:r w:rsidRPr="0091568F">
        <w:rPr>
          <w:rFonts w:ascii="Times New Roman" w:hAnsi="Times New Roman" w:cs="Times New Roman"/>
          <w:b/>
          <w:bCs/>
        </w:rPr>
        <w:t>l</w:t>
      </w:r>
      <w:r w:rsidRPr="0091568F">
        <w:rPr>
          <w:rFonts w:ascii="Times New Roman" w:hAnsi="Times New Roman" w:cs="Times New Roman"/>
          <w:b/>
          <w:bCs/>
        </w:rPr>
        <w:t>evel</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The mean scores were higher for those at higher proficiency levels.</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A2: 17.77</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B1: 20.27</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B2: 22.82</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C1: 25.79</w:t>
      </w:r>
    </w:p>
    <w:p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The overall percentage of students who passed varied from 60.6 to 98.0.</w:t>
      </w:r>
    </w:p>
    <w:p w:rsidR="0091568F" w:rsidRDefault="0091568F" w:rsidP="0091568F">
      <w:pPr>
        <w:spacing w:line="480" w:lineRule="auto"/>
        <w:rPr>
          <w:rFonts w:ascii="Times New Roman" w:hAnsi="Times New Roman" w:cs="Times New Roman"/>
        </w:rPr>
      </w:pPr>
      <w:r w:rsidRPr="0091568F">
        <w:rPr>
          <w:rFonts w:ascii="Times New Roman" w:hAnsi="Times New Roman" w:cs="Times New Roman"/>
        </w:rPr>
        <w:t>The scores were consistent with the theory of language proficiency development as outlined in CEFR (Council of Europe, 2001).</w:t>
      </w:r>
    </w:p>
    <w:p w:rsidR="0091568F" w:rsidRDefault="0091568F" w:rsidP="0091568F">
      <w:pPr>
        <w:spacing w:line="480" w:lineRule="auto"/>
        <w:rPr>
          <w:rFonts w:ascii="Times New Roman" w:hAnsi="Times New Roman" w:cs="Times New Roman"/>
        </w:rPr>
      </w:pPr>
    </w:p>
    <w:p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4. Interpretation of </w:t>
      </w:r>
      <w:r w:rsidRPr="0091568F">
        <w:rPr>
          <w:rFonts w:ascii="Times New Roman" w:hAnsi="Times New Roman" w:cs="Times New Roman"/>
          <w:b/>
          <w:bCs/>
        </w:rPr>
        <w:t>r</w:t>
      </w:r>
      <w:r w:rsidRPr="0091568F">
        <w:rPr>
          <w:rFonts w:ascii="Times New Roman" w:hAnsi="Times New Roman" w:cs="Times New Roman"/>
          <w:b/>
          <w:bCs/>
        </w:rPr>
        <w:t>esults</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high value of Cronbach’s Alpha (0.905) is an indication that the results are internally consistent, showing that all components of the test are working cohesively to ensure that language proficiency is being measured (Field, 2018).</w:t>
      </w:r>
    </w:p>
    <w:p w:rsid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The consistency of results in different test administrations is an indication that the test is working well in different conditions. This is an important factor in a standardized test, where results can be compared (Kane, 2013).</w:t>
      </w:r>
    </w:p>
    <w:p w:rsidR="0091568F" w:rsidRP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lastRenderedPageBreak/>
        <w:t>Furthermore, the clear differences in language proficiency levels are an indication that the test is valid. The steady increase in results from level A2 to C1 is an indication that the test is able to measure differences in language proficiency appropriately, as supported by theory (Fulcher &amp; Davidson, 2007).</w:t>
      </w:r>
    </w:p>
    <w:p w:rsidR="0091568F" w:rsidRDefault="0091568F" w:rsidP="0091568F">
      <w:pPr>
        <w:spacing w:line="480" w:lineRule="auto"/>
        <w:ind w:firstLine="567"/>
        <w:rPr>
          <w:rFonts w:ascii="Times New Roman" w:hAnsi="Times New Roman" w:cs="Times New Roman"/>
        </w:rPr>
      </w:pPr>
      <w:r w:rsidRPr="0091568F">
        <w:rPr>
          <w:rFonts w:ascii="Times New Roman" w:hAnsi="Times New Roman" w:cs="Times New Roman"/>
        </w:rPr>
        <w:t>Although differences in results are noticed in different countries, they are not significant enough to affect the results’ interpretation, showing that the test is working appropriately in different international settings.</w:t>
      </w:r>
    </w:p>
    <w:p w:rsidR="0091568F" w:rsidRDefault="0091568F" w:rsidP="0091568F">
      <w:pPr>
        <w:spacing w:line="480" w:lineRule="auto"/>
        <w:rPr>
          <w:rFonts w:ascii="Times New Roman" w:hAnsi="Times New Roman" w:cs="Times New Roman"/>
        </w:rPr>
      </w:pPr>
    </w:p>
    <w:p w:rsidR="0091568F" w:rsidRPr="001E6258" w:rsidRDefault="0091568F" w:rsidP="0091568F">
      <w:pPr>
        <w:spacing w:line="480" w:lineRule="auto"/>
        <w:rPr>
          <w:rFonts w:ascii="Times New Roman" w:hAnsi="Times New Roman" w:cs="Times New Roman"/>
          <w:b/>
          <w:bCs/>
        </w:rPr>
      </w:pPr>
      <w:r w:rsidRPr="001E6258">
        <w:rPr>
          <w:rFonts w:ascii="Times New Roman" w:hAnsi="Times New Roman" w:cs="Times New Roman"/>
          <w:b/>
          <w:bCs/>
        </w:rPr>
        <w:t>5. Conclusion</w:t>
      </w:r>
    </w:p>
    <w:p w:rsidR="001E6258" w:rsidRPr="001E6258" w:rsidRDefault="001E6258" w:rsidP="001E6258">
      <w:pPr>
        <w:spacing w:line="480" w:lineRule="auto"/>
        <w:ind w:firstLine="567"/>
        <w:rPr>
          <w:rFonts w:ascii="Times New Roman" w:hAnsi="Times New Roman" w:cs="Times New Roman"/>
        </w:rPr>
      </w:pPr>
      <w:r w:rsidRPr="001E6258">
        <w:rPr>
          <w:rFonts w:ascii="Times New Roman" w:hAnsi="Times New Roman" w:cs="Times New Roman"/>
        </w:rPr>
        <w:t>The results show that the NOCN ESOL International examination is a reliable assessment that demonstrates a high degree of validity. The examination is found to have excellent internal consistency and stability in performance. It is also evident that the assessment is valid to the CEFR proficiency scale.</w:t>
      </w:r>
    </w:p>
    <w:p w:rsidR="001E6258" w:rsidRDefault="001E6258" w:rsidP="001E6258">
      <w:pPr>
        <w:spacing w:line="480" w:lineRule="auto"/>
        <w:ind w:firstLine="567"/>
        <w:rPr>
          <w:rFonts w:ascii="Times New Roman" w:hAnsi="Times New Roman" w:cs="Times New Roman"/>
        </w:rPr>
      </w:pPr>
      <w:r w:rsidRPr="001E6258">
        <w:rPr>
          <w:rFonts w:ascii="Times New Roman" w:hAnsi="Times New Roman" w:cs="Times New Roman"/>
        </w:rPr>
        <w:t>The above results show that the examination is valid for being used as a reliable assessment of English language proficiency for academic and professional purposes. The constant monitoring of the assessment will continue to play a crucial role in improving the quality of the assessment.</w:t>
      </w:r>
    </w:p>
    <w:p w:rsidR="001E6258" w:rsidRDefault="001E6258">
      <w:pPr>
        <w:rPr>
          <w:rFonts w:ascii="Times New Roman" w:hAnsi="Times New Roman" w:cs="Times New Roman"/>
        </w:rPr>
      </w:pPr>
      <w:r>
        <w:rPr>
          <w:rFonts w:ascii="Times New Roman" w:hAnsi="Times New Roman" w:cs="Times New Roman"/>
        </w:rPr>
        <w:br w:type="page"/>
      </w:r>
    </w:p>
    <w:p w:rsidR="001E6258" w:rsidRPr="00EC55AA" w:rsidRDefault="001E6258" w:rsidP="001E6258">
      <w:pPr>
        <w:spacing w:line="480" w:lineRule="auto"/>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lastRenderedPageBreak/>
        <w:t>References</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Bachman, L. F., &amp; Palmer, A. S. (1996). </w:t>
      </w:r>
      <w:r w:rsidRPr="00EC55AA">
        <w:rPr>
          <w:rFonts w:ascii="Times New Roman" w:eastAsia="Times New Roman" w:hAnsi="Times New Roman" w:cs="Times New Roman"/>
          <w:i/>
          <w:iCs/>
          <w:kern w:val="0"/>
          <w:lang w:eastAsia="en-GB"/>
          <w14:ligatures w14:val="none"/>
        </w:rPr>
        <w:t>Language testing in practice</w:t>
      </w:r>
      <w:r w:rsidRPr="00EC55AA">
        <w:rPr>
          <w:rFonts w:ascii="Times New Roman" w:eastAsia="Times New Roman" w:hAnsi="Times New Roman" w:cs="Times New Roman"/>
          <w:kern w:val="0"/>
          <w:lang w:eastAsia="en-GB"/>
          <w14:ligatures w14:val="none"/>
        </w:rPr>
        <w:t>. Oxford University Press.</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Council of Europe. (2001). </w:t>
      </w:r>
      <w:r w:rsidRPr="00EC55AA">
        <w:rPr>
          <w:rFonts w:ascii="Times New Roman" w:eastAsia="Times New Roman" w:hAnsi="Times New Roman" w:cs="Times New Roman"/>
          <w:i/>
          <w:iCs/>
          <w:kern w:val="0"/>
          <w:lang w:eastAsia="en-GB"/>
          <w14:ligatures w14:val="none"/>
        </w:rPr>
        <w:t>Common European Framework of Reference for Languages: Learning, teaching, assessment</w:t>
      </w:r>
      <w:r w:rsidRPr="00EC55AA">
        <w:rPr>
          <w:rFonts w:ascii="Times New Roman" w:eastAsia="Times New Roman" w:hAnsi="Times New Roman" w:cs="Times New Roman"/>
          <w:kern w:val="0"/>
          <w:lang w:eastAsia="en-GB"/>
          <w14:ligatures w14:val="none"/>
        </w:rPr>
        <w:t>. Cambridge University Press.</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Cronbach, L. J. (1951). Coefficient alpha and the internal structure of tests. </w:t>
      </w:r>
      <w:r w:rsidRPr="00EC55AA">
        <w:rPr>
          <w:rFonts w:ascii="Times New Roman" w:eastAsia="Times New Roman" w:hAnsi="Times New Roman" w:cs="Times New Roman"/>
          <w:i/>
          <w:iCs/>
          <w:kern w:val="0"/>
          <w:lang w:eastAsia="en-GB"/>
          <w14:ligatures w14:val="none"/>
        </w:rPr>
        <w:t>Psychometrika</w:t>
      </w:r>
      <w:r w:rsidRPr="00EC55AA">
        <w:rPr>
          <w:rFonts w:ascii="Times New Roman" w:eastAsia="Times New Roman" w:hAnsi="Times New Roman" w:cs="Times New Roman"/>
          <w:kern w:val="0"/>
          <w:lang w:eastAsia="en-GB"/>
          <w14:ligatures w14:val="none"/>
        </w:rPr>
        <w:t>, 16(3), 297–334.</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DeVellis, R. F. (2016). </w:t>
      </w:r>
      <w:r w:rsidRPr="00EC55AA">
        <w:rPr>
          <w:rFonts w:ascii="Times New Roman" w:eastAsia="Times New Roman" w:hAnsi="Times New Roman" w:cs="Times New Roman"/>
          <w:i/>
          <w:iCs/>
          <w:kern w:val="0"/>
          <w:lang w:eastAsia="en-GB"/>
          <w14:ligatures w14:val="none"/>
        </w:rPr>
        <w:t>Scale development: Theory and applications</w:t>
      </w:r>
      <w:r w:rsidRPr="00EC55AA">
        <w:rPr>
          <w:rFonts w:ascii="Times New Roman" w:eastAsia="Times New Roman" w:hAnsi="Times New Roman" w:cs="Times New Roman"/>
          <w:kern w:val="0"/>
          <w:lang w:eastAsia="en-GB"/>
          <w14:ligatures w14:val="none"/>
        </w:rPr>
        <w:t xml:space="preserve"> (4th ed.). Sage Publications.</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Field, A. (2018). </w:t>
      </w:r>
      <w:r w:rsidRPr="00EC55AA">
        <w:rPr>
          <w:rFonts w:ascii="Times New Roman" w:eastAsia="Times New Roman" w:hAnsi="Times New Roman" w:cs="Times New Roman"/>
          <w:i/>
          <w:iCs/>
          <w:kern w:val="0"/>
          <w:lang w:eastAsia="en-GB"/>
          <w14:ligatures w14:val="none"/>
        </w:rPr>
        <w:t>Discovering statistics using IBM SPSS statistics</w:t>
      </w:r>
      <w:r w:rsidRPr="00EC55AA">
        <w:rPr>
          <w:rFonts w:ascii="Times New Roman" w:eastAsia="Times New Roman" w:hAnsi="Times New Roman" w:cs="Times New Roman"/>
          <w:kern w:val="0"/>
          <w:lang w:eastAsia="en-GB"/>
          <w14:ligatures w14:val="none"/>
        </w:rPr>
        <w:t xml:space="preserve"> (5th ed.). Sage Publications.</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Fulcher, G., &amp; Davidson, F. (2007). </w:t>
      </w:r>
      <w:r w:rsidRPr="00EC55AA">
        <w:rPr>
          <w:rFonts w:ascii="Times New Roman" w:eastAsia="Times New Roman" w:hAnsi="Times New Roman" w:cs="Times New Roman"/>
          <w:i/>
          <w:iCs/>
          <w:kern w:val="0"/>
          <w:lang w:eastAsia="en-GB"/>
          <w14:ligatures w14:val="none"/>
        </w:rPr>
        <w:t>Language testing and assessment: An advanced resource book</w:t>
      </w:r>
      <w:r w:rsidRPr="00EC55AA">
        <w:rPr>
          <w:rFonts w:ascii="Times New Roman" w:eastAsia="Times New Roman" w:hAnsi="Times New Roman" w:cs="Times New Roman"/>
          <w:kern w:val="0"/>
          <w:lang w:eastAsia="en-GB"/>
          <w14:ligatures w14:val="none"/>
        </w:rPr>
        <w:t>. Routledge.</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Kane, M. T. (2013). Validating the interpretations and uses of test scores. </w:t>
      </w:r>
      <w:r w:rsidRPr="00EC55AA">
        <w:rPr>
          <w:rFonts w:ascii="Times New Roman" w:eastAsia="Times New Roman" w:hAnsi="Times New Roman" w:cs="Times New Roman"/>
          <w:i/>
          <w:iCs/>
          <w:kern w:val="0"/>
          <w:lang w:eastAsia="en-GB"/>
          <w14:ligatures w14:val="none"/>
        </w:rPr>
        <w:t>Journal of Educational Measurement</w:t>
      </w:r>
      <w:r w:rsidRPr="00EC55AA">
        <w:rPr>
          <w:rFonts w:ascii="Times New Roman" w:eastAsia="Times New Roman" w:hAnsi="Times New Roman" w:cs="Times New Roman"/>
          <w:kern w:val="0"/>
          <w:lang w:eastAsia="en-GB"/>
          <w14:ligatures w14:val="none"/>
        </w:rPr>
        <w:t>, 50(1), 1</w:t>
      </w:r>
      <w:r>
        <w:rPr>
          <w:rFonts w:ascii="Times New Roman" w:eastAsia="Times New Roman" w:hAnsi="Times New Roman" w:cs="Times New Roman"/>
          <w:kern w:val="0"/>
          <w:lang w:eastAsia="en-GB"/>
          <w14:ligatures w14:val="none"/>
        </w:rPr>
        <w:t>-</w:t>
      </w:r>
      <w:r w:rsidRPr="00EC55AA">
        <w:rPr>
          <w:rFonts w:ascii="Times New Roman" w:eastAsia="Times New Roman" w:hAnsi="Times New Roman" w:cs="Times New Roman"/>
          <w:kern w:val="0"/>
          <w:lang w:eastAsia="en-GB"/>
          <w14:ligatures w14:val="none"/>
        </w:rPr>
        <w:t>73.</w:t>
      </w:r>
    </w:p>
    <w:p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Messick, S. (1989). Validity. In R. L. Linn (Ed.), </w:t>
      </w:r>
      <w:r w:rsidRPr="00EC55AA">
        <w:rPr>
          <w:rFonts w:ascii="Times New Roman" w:eastAsia="Times New Roman" w:hAnsi="Times New Roman" w:cs="Times New Roman"/>
          <w:i/>
          <w:iCs/>
          <w:kern w:val="0"/>
          <w:lang w:eastAsia="en-GB"/>
          <w14:ligatures w14:val="none"/>
        </w:rPr>
        <w:t>Educational measurement</w:t>
      </w:r>
      <w:r w:rsidRPr="00EC55AA">
        <w:rPr>
          <w:rFonts w:ascii="Times New Roman" w:eastAsia="Times New Roman" w:hAnsi="Times New Roman" w:cs="Times New Roman"/>
          <w:kern w:val="0"/>
          <w:lang w:eastAsia="en-GB"/>
          <w14:ligatures w14:val="none"/>
        </w:rPr>
        <w:t xml:space="preserve"> (3rd ed., pp. 13–103). American Council on Education.</w:t>
      </w:r>
    </w:p>
    <w:p w:rsidR="001E6258"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Weir, C. J. (2005). </w:t>
      </w:r>
      <w:r w:rsidRPr="00EC55AA">
        <w:rPr>
          <w:rFonts w:ascii="Times New Roman" w:eastAsia="Times New Roman" w:hAnsi="Times New Roman" w:cs="Times New Roman"/>
          <w:i/>
          <w:iCs/>
          <w:kern w:val="0"/>
          <w:lang w:eastAsia="en-GB"/>
          <w14:ligatures w14:val="none"/>
        </w:rPr>
        <w:t>Language testing and validation: An evidence-based approach</w:t>
      </w:r>
      <w:r w:rsidRPr="00EC55AA">
        <w:rPr>
          <w:rFonts w:ascii="Times New Roman" w:eastAsia="Times New Roman" w:hAnsi="Times New Roman" w:cs="Times New Roman"/>
          <w:kern w:val="0"/>
          <w:lang w:eastAsia="en-GB"/>
          <w14:ligatures w14:val="none"/>
        </w:rPr>
        <w:t>. Palgrave Macmillan.</w:t>
      </w:r>
    </w:p>
    <w:p w:rsidR="0091568F" w:rsidRPr="0091568F" w:rsidRDefault="0091568F" w:rsidP="001E6258">
      <w:pPr>
        <w:spacing w:line="480" w:lineRule="auto"/>
        <w:ind w:firstLine="567"/>
        <w:rPr>
          <w:rFonts w:ascii="Times New Roman" w:hAnsi="Times New Roman" w:cs="Times New Roman"/>
        </w:rPr>
      </w:pPr>
    </w:p>
    <w:sectPr w:rsidR="0091568F" w:rsidRPr="009156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46EFA"/>
    <w:multiLevelType w:val="hybridMultilevel"/>
    <w:tmpl w:val="6FD245C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915"/>
    <w:multiLevelType w:val="hybridMultilevel"/>
    <w:tmpl w:val="2C10DCE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836537">
    <w:abstractNumId w:val="1"/>
  </w:num>
  <w:num w:numId="2" w16cid:durableId="119388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AA"/>
    <w:rsid w:val="00094FFE"/>
    <w:rsid w:val="001E6258"/>
    <w:rsid w:val="00361B59"/>
    <w:rsid w:val="00460234"/>
    <w:rsid w:val="00497397"/>
    <w:rsid w:val="0091568F"/>
    <w:rsid w:val="00AB00FD"/>
    <w:rsid w:val="00AF4965"/>
    <w:rsid w:val="00D16F0B"/>
    <w:rsid w:val="00DE6639"/>
    <w:rsid w:val="00EC55A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F274F02"/>
  <w15:chartTrackingRefBased/>
  <w15:docId w15:val="{D9DA66A6-91C2-B044-9C2D-67E791D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5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5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AA"/>
    <w:rPr>
      <w:rFonts w:eastAsiaTheme="majorEastAsia" w:cstheme="majorBidi"/>
      <w:color w:val="272727" w:themeColor="text1" w:themeTint="D8"/>
    </w:rPr>
  </w:style>
  <w:style w:type="paragraph" w:styleId="Title">
    <w:name w:val="Title"/>
    <w:basedOn w:val="Normal"/>
    <w:next w:val="Normal"/>
    <w:link w:val="TitleChar"/>
    <w:uiPriority w:val="10"/>
    <w:qFormat/>
    <w:rsid w:val="00EC5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5AA"/>
    <w:rPr>
      <w:i/>
      <w:iCs/>
      <w:color w:val="404040" w:themeColor="text1" w:themeTint="BF"/>
    </w:rPr>
  </w:style>
  <w:style w:type="paragraph" w:styleId="ListParagraph">
    <w:name w:val="List Paragraph"/>
    <w:basedOn w:val="Normal"/>
    <w:uiPriority w:val="34"/>
    <w:qFormat/>
    <w:rsid w:val="00EC55AA"/>
    <w:pPr>
      <w:ind w:left="720"/>
      <w:contextualSpacing/>
    </w:pPr>
  </w:style>
  <w:style w:type="character" w:styleId="IntenseEmphasis">
    <w:name w:val="Intense Emphasis"/>
    <w:basedOn w:val="DefaultParagraphFont"/>
    <w:uiPriority w:val="21"/>
    <w:qFormat/>
    <w:rsid w:val="00EC55AA"/>
    <w:rPr>
      <w:i/>
      <w:iCs/>
      <w:color w:val="2F5496" w:themeColor="accent1" w:themeShade="BF"/>
    </w:rPr>
  </w:style>
  <w:style w:type="paragraph" w:styleId="IntenseQuote">
    <w:name w:val="Intense Quote"/>
    <w:basedOn w:val="Normal"/>
    <w:next w:val="Normal"/>
    <w:link w:val="IntenseQuoteChar"/>
    <w:uiPriority w:val="30"/>
    <w:qFormat/>
    <w:rsid w:val="00EC5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5AA"/>
    <w:rPr>
      <w:i/>
      <w:iCs/>
      <w:color w:val="2F5496" w:themeColor="accent1" w:themeShade="BF"/>
    </w:rPr>
  </w:style>
  <w:style w:type="character" w:styleId="IntenseReference">
    <w:name w:val="Intense Reference"/>
    <w:basedOn w:val="DefaultParagraphFont"/>
    <w:uiPriority w:val="32"/>
    <w:qFormat/>
    <w:rsid w:val="00EC55AA"/>
    <w:rPr>
      <w:b/>
      <w:bCs/>
      <w:smallCaps/>
      <w:color w:val="2F5496" w:themeColor="accent1" w:themeShade="BF"/>
      <w:spacing w:val="5"/>
    </w:rPr>
  </w:style>
  <w:style w:type="character" w:styleId="Strong">
    <w:name w:val="Strong"/>
    <w:basedOn w:val="DefaultParagraphFont"/>
    <w:uiPriority w:val="22"/>
    <w:qFormat/>
    <w:rsid w:val="00EC55AA"/>
    <w:rPr>
      <w:b/>
      <w:bCs/>
    </w:rPr>
  </w:style>
  <w:style w:type="paragraph" w:styleId="NormalWeb">
    <w:name w:val="Normal (Web)"/>
    <w:basedOn w:val="Normal"/>
    <w:uiPriority w:val="99"/>
    <w:semiHidden/>
    <w:unhideWhenUsed/>
    <w:rsid w:val="00EC55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C55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Trinh Hoi</cp:lastModifiedBy>
  <cp:revision>1</cp:revision>
  <dcterms:created xsi:type="dcterms:W3CDTF">2026-03-23T16:11:00Z</dcterms:created>
  <dcterms:modified xsi:type="dcterms:W3CDTF">2026-03-23T16:32:00Z</dcterms:modified>
</cp:coreProperties>
</file>