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6DE" w:rsidRPr="0012747A" w:rsidRDefault="0012747A" w:rsidP="0012747A">
      <w:pPr>
        <w:spacing w:line="480" w:lineRule="auto"/>
        <w:jc w:val="center"/>
        <w:rPr>
          <w:rFonts w:ascii="Times New Roman" w:hAnsi="Times New Roman" w:cs="Times New Roman"/>
          <w:sz w:val="26"/>
          <w:szCs w:val="26"/>
        </w:rPr>
      </w:pPr>
      <w:r w:rsidRPr="0012747A">
        <w:rPr>
          <w:rFonts w:ascii="Times New Roman" w:hAnsi="Times New Roman" w:cs="Times New Roman"/>
          <w:b/>
          <w:bCs/>
          <w:sz w:val="26"/>
          <w:szCs w:val="26"/>
        </w:rPr>
        <w:t>Đối chiếu các cấp độ của bài thi NOCN ESOL International với thang điểm IELTS thông qua khung CEFR</w:t>
      </w:r>
      <w:r w:rsidRPr="0012747A">
        <w:rPr>
          <w:rFonts w:ascii="Times New Roman" w:hAnsi="Times New Roman" w:cs="Times New Roman"/>
          <w:b/>
          <w:bCs/>
          <w:sz w:val="26"/>
          <w:szCs w:val="26"/>
        </w:rPr>
        <w:t>: Nghiên cứu trên hen 300 thí sinh trên 4 đất nước</w:t>
      </w:r>
    </w:p>
    <w:p w:rsidR="00A82111" w:rsidRPr="0012747A" w:rsidRDefault="00A82111" w:rsidP="0012747A">
      <w:pPr>
        <w:spacing w:line="480" w:lineRule="auto"/>
        <w:rPr>
          <w:rFonts w:ascii="Times New Roman" w:hAnsi="Times New Roman" w:cs="Times New Roman"/>
          <w:b/>
          <w:bCs/>
          <w:sz w:val="26"/>
          <w:szCs w:val="26"/>
        </w:rPr>
      </w:pPr>
      <w:r w:rsidRPr="0012747A">
        <w:rPr>
          <w:rFonts w:ascii="Times New Roman" w:hAnsi="Times New Roman" w:cs="Times New Roman"/>
          <w:b/>
          <w:bCs/>
          <w:sz w:val="26"/>
          <w:szCs w:val="26"/>
        </w:rPr>
        <w:t>Tóm tắt</w:t>
      </w:r>
    </w:p>
    <w:p w:rsidR="0012747A" w:rsidRPr="0012747A" w:rsidRDefault="0012747A" w:rsidP="0012747A">
      <w:pPr>
        <w:spacing w:line="480" w:lineRule="auto"/>
        <w:ind w:firstLine="567"/>
        <w:rPr>
          <w:rFonts w:ascii="Times New Roman" w:hAnsi="Times New Roman" w:cs="Times New Roman"/>
          <w:sz w:val="26"/>
          <w:szCs w:val="26"/>
        </w:rPr>
      </w:pPr>
      <w:r w:rsidRPr="0012747A">
        <w:rPr>
          <w:rFonts w:ascii="Times New Roman" w:hAnsi="Times New Roman" w:cs="Times New Roman"/>
          <w:sz w:val="26"/>
          <w:szCs w:val="26"/>
        </w:rPr>
        <w:t>Bài viết này phân tích mức độ tương ứng giữa các cấp độ NOCN ESOL International ở ba mức B1, B2 và C1 với kết quả IELTS, sử dụng CEFR như một khung tham chiếu chung. Trên bộ dữ liệu ghép cặp gồm 307 hồ sơ, kết quả cho thấy 304/307 trường hợp, tương đương 99,0%, cho ra cùng một bậc CEFR giữa cấp độ NOCN và mức suy ra từ IELTS Overall. Điểm IELTS trung bình tăng tuần tự theo cấp độ NOCN, với B1 đạt 4,97, B2 đạt 6,11 và C1 đạt 7,74. Kết quả này cho thấy các mức NOCN B1, B2 và C1 có sự tương ứng mạnh với các dải điểm IELTS lần lượt khoảng 4.0-5.0, 5.5-6.5 và 7.0-8.0. Tuy nhiên, theo hướng dẫn chính thức của IELTS, đây không nên được diễn giải như một phép quy đổi một-một tuyệt đối, mà là một sự đối chiếu trình độ thông qua CEFR.</w:t>
      </w:r>
    </w:p>
    <w:p w:rsidR="004576DE" w:rsidRPr="0012747A" w:rsidRDefault="004576DE" w:rsidP="0012747A">
      <w:pPr>
        <w:spacing w:line="480" w:lineRule="auto"/>
        <w:ind w:firstLine="567"/>
        <w:rPr>
          <w:rFonts w:ascii="Times New Roman" w:hAnsi="Times New Roman" w:cs="Times New Roman"/>
          <w:b/>
          <w:bCs/>
          <w:sz w:val="26"/>
          <w:szCs w:val="26"/>
        </w:rPr>
      </w:pPr>
      <w:r w:rsidRPr="0012747A">
        <w:rPr>
          <w:rFonts w:ascii="Times New Roman" w:hAnsi="Times New Roman" w:cs="Times New Roman"/>
          <w:b/>
          <w:bCs/>
          <w:sz w:val="26"/>
          <w:szCs w:val="26"/>
        </w:rPr>
        <w:t>1. Bối cảnh và mục tiêu</w:t>
      </w:r>
    </w:p>
    <w:p w:rsidR="0012747A" w:rsidRPr="0012747A" w:rsidRDefault="0012747A" w:rsidP="0012747A">
      <w:pPr>
        <w:spacing w:line="480" w:lineRule="auto"/>
        <w:ind w:firstLine="567"/>
        <w:rPr>
          <w:rFonts w:ascii="Times New Roman" w:hAnsi="Times New Roman" w:cs="Times New Roman"/>
          <w:sz w:val="26"/>
          <w:szCs w:val="26"/>
        </w:rPr>
      </w:pPr>
      <w:r w:rsidRPr="0012747A">
        <w:rPr>
          <w:rFonts w:ascii="Times New Roman" w:hAnsi="Times New Roman" w:cs="Times New Roman"/>
          <w:sz w:val="26"/>
          <w:szCs w:val="26"/>
        </w:rPr>
        <w:t>NOCN hiện công bố hệ thống ESOL International ở sáu mức từ A1 đến C2. Trong đó, Intermediate tương ứng với B1, Independent User tương ứng với B2 và Advanced tương ứng với C1 theo CEFR. Tài liệu đặc tả cũng cho thấy NOCN ESOL International là một hệ thống đánh giá đủ bốn kỹ năng nghe, đọc, viết và nói, với cấu trúc bài thi được xây dựng quanh các tình huống giao tiếp thực tế.</w:t>
      </w:r>
    </w:p>
    <w:p w:rsidR="0012747A" w:rsidRPr="0012747A" w:rsidRDefault="0012747A" w:rsidP="0012747A">
      <w:pPr>
        <w:spacing w:line="480" w:lineRule="auto"/>
        <w:ind w:firstLine="567"/>
        <w:rPr>
          <w:rFonts w:ascii="Times New Roman" w:hAnsi="Times New Roman" w:cs="Times New Roman"/>
          <w:sz w:val="26"/>
          <w:szCs w:val="26"/>
        </w:rPr>
      </w:pPr>
      <w:r w:rsidRPr="0012747A">
        <w:rPr>
          <w:rFonts w:ascii="Times New Roman" w:hAnsi="Times New Roman" w:cs="Times New Roman"/>
          <w:sz w:val="26"/>
          <w:szCs w:val="26"/>
        </w:rPr>
        <w:t>Ngược</w:t>
      </w:r>
      <w:r w:rsidRPr="0012747A">
        <w:rPr>
          <w:rFonts w:ascii="Times New Roman" w:hAnsi="Times New Roman" w:cs="Times New Roman"/>
          <w:sz w:val="26"/>
          <w:szCs w:val="26"/>
        </w:rPr>
        <w:t xml:space="preserve"> lại, IELTS công bố sơ đồ đối chiếu band score với CEFR để hỗ trợ các tổ chức diễn giải kết quả. Hướng dẫn chính thức của IELTS đồng thời nhấn mạnh rằng IELTS và CEFR được thiết kế cho các mục đích khác nhau, vì vậy không thể coi việc đối chiếu này là một phép quy đổi tuyệt đối từng band sang từng bậc CEFR.</w:t>
      </w:r>
    </w:p>
    <w:p w:rsidR="004576DE" w:rsidRPr="0012747A" w:rsidRDefault="0012747A" w:rsidP="0012747A">
      <w:pPr>
        <w:spacing w:line="480" w:lineRule="auto"/>
        <w:ind w:firstLine="567"/>
        <w:rPr>
          <w:rFonts w:ascii="Times New Roman" w:hAnsi="Times New Roman" w:cs="Times New Roman"/>
          <w:sz w:val="26"/>
          <w:szCs w:val="26"/>
        </w:rPr>
      </w:pPr>
      <w:r w:rsidRPr="0012747A">
        <w:rPr>
          <w:rFonts w:ascii="Times New Roman" w:hAnsi="Times New Roman" w:cs="Times New Roman"/>
          <w:sz w:val="26"/>
          <w:szCs w:val="26"/>
        </w:rPr>
        <w:lastRenderedPageBreak/>
        <w:t>Vì vậy, mục tiêu của bài viết này không phải là tuyên bố NOCN “đổi thẳng” sang IELTS, mà là trình bày bằng chứng thực nghiệm cho thấy các cấp độ NOCN B1, B2 và C1 tương ứng mạnh với những dải điểm IELTS quen thuộc, khi cả hai hệ thống được đọc qua cùng một khung tham chiếu là CEFR. Cách tiếp cận này cũng phù hợp với khuyến nghị của Hội đồng châu Âu rằng các tuyên bố liên kết bài thi với CEFR cần dựa trên thủ tục minh bạch, bằng chứng và báo cáo công khai.</w:t>
      </w:r>
    </w:p>
    <w:p w:rsidR="0012747A" w:rsidRPr="0012747A" w:rsidRDefault="0012747A" w:rsidP="0012747A">
      <w:pPr>
        <w:spacing w:line="480" w:lineRule="auto"/>
        <w:rPr>
          <w:rFonts w:ascii="Times New Roman" w:hAnsi="Times New Roman" w:cs="Times New Roman"/>
          <w:b/>
          <w:bCs/>
          <w:sz w:val="26"/>
          <w:szCs w:val="26"/>
        </w:rPr>
      </w:pPr>
    </w:p>
    <w:p w:rsidR="004576DE" w:rsidRPr="0012747A" w:rsidRDefault="004576DE" w:rsidP="0012747A">
      <w:pPr>
        <w:spacing w:line="480" w:lineRule="auto"/>
        <w:rPr>
          <w:rFonts w:ascii="Times New Roman" w:hAnsi="Times New Roman" w:cs="Times New Roman"/>
          <w:b/>
          <w:bCs/>
          <w:sz w:val="26"/>
          <w:szCs w:val="26"/>
        </w:rPr>
      </w:pPr>
      <w:r w:rsidRPr="0012747A">
        <w:rPr>
          <w:rFonts w:ascii="Times New Roman" w:hAnsi="Times New Roman" w:cs="Times New Roman"/>
          <w:b/>
          <w:bCs/>
          <w:sz w:val="26"/>
          <w:szCs w:val="26"/>
        </w:rPr>
        <w:t xml:space="preserve">2. Cơ sở </w:t>
      </w:r>
      <w:r w:rsidR="0012747A" w:rsidRPr="0012747A">
        <w:rPr>
          <w:rFonts w:ascii="Times New Roman" w:hAnsi="Times New Roman" w:cs="Times New Roman"/>
          <w:b/>
          <w:bCs/>
          <w:sz w:val="26"/>
          <w:szCs w:val="26"/>
        </w:rPr>
        <w:t>học thuật</w:t>
      </w:r>
    </w:p>
    <w:p w:rsidR="0012747A" w:rsidRPr="0012747A" w:rsidRDefault="0012747A" w:rsidP="0012747A">
      <w:pPr>
        <w:spacing w:line="480" w:lineRule="auto"/>
        <w:ind w:firstLine="567"/>
        <w:rPr>
          <w:rFonts w:ascii="Times New Roman" w:hAnsi="Times New Roman" w:cs="Times New Roman"/>
          <w:sz w:val="26"/>
          <w:szCs w:val="26"/>
        </w:rPr>
      </w:pPr>
      <w:r w:rsidRPr="0012747A">
        <w:rPr>
          <w:rFonts w:ascii="Times New Roman" w:hAnsi="Times New Roman" w:cs="Times New Roman"/>
          <w:sz w:val="26"/>
          <w:szCs w:val="26"/>
        </w:rPr>
        <w:t>CEFR cung cấp sáu mức tham chiếu chung từ A1 đến C2 và được xây dựng để hỗ trợ tính minh bạch, khả năng công nhận lẫn nhau giữa các chứng chỉ, cũng như việc liên kết chương trình, dạy học và đánh giá. Hội đồng châu Âu nêu rõ rằng các mức tham chiếu chung này tạo ra một “ngôn ngữ chung” cho giới chuyên môn và giúp tăng cường khả năng công nhận các khóa học cũng như các kỳ thi đã vượt qua.</w:t>
      </w:r>
    </w:p>
    <w:p w:rsidR="0012747A" w:rsidRPr="0012747A" w:rsidRDefault="0012747A" w:rsidP="0012747A">
      <w:pPr>
        <w:spacing w:line="480" w:lineRule="auto"/>
        <w:ind w:firstLine="567"/>
        <w:rPr>
          <w:rFonts w:ascii="Times New Roman" w:hAnsi="Times New Roman" w:cs="Times New Roman"/>
          <w:sz w:val="26"/>
          <w:szCs w:val="26"/>
        </w:rPr>
      </w:pPr>
      <w:r w:rsidRPr="0012747A">
        <w:rPr>
          <w:rFonts w:ascii="Times New Roman" w:hAnsi="Times New Roman" w:cs="Times New Roman"/>
          <w:sz w:val="26"/>
          <w:szCs w:val="26"/>
        </w:rPr>
        <w:t xml:space="preserve">Đối với việc liên kết các bài thi với CEFR, tài liệu </w:t>
      </w:r>
      <w:r w:rsidRPr="0012747A">
        <w:rPr>
          <w:rFonts w:ascii="Times New Roman" w:hAnsi="Times New Roman" w:cs="Times New Roman"/>
          <w:i/>
          <w:iCs/>
          <w:sz w:val="26"/>
          <w:szCs w:val="26"/>
        </w:rPr>
        <w:t>Relating Language Examinations to the CEFR: A Manual</w:t>
      </w:r>
      <w:r w:rsidRPr="0012747A">
        <w:rPr>
          <w:rFonts w:ascii="Times New Roman" w:hAnsi="Times New Roman" w:cs="Times New Roman"/>
          <w:sz w:val="26"/>
          <w:szCs w:val="26"/>
        </w:rPr>
        <w:t xml:space="preserve"> của Hội đồng châu Âu nhấn mạnh rằng mọi tuyên bố về mối quan hệ giữa một kỳ thi và CEFR cần được hỗ trợ bằng quy trình mô tả, chuẩn hóa, thiết lập chuẩn và xác thực. Nói cách khác, đối chiếu với CEFR là một quy trình lập luận dựa trên bằng chứng, chứ không chỉ là một bảng quy đổi tĩnh.</w:t>
      </w:r>
    </w:p>
    <w:p w:rsidR="0012747A" w:rsidRPr="0012747A" w:rsidRDefault="0012747A" w:rsidP="0012747A">
      <w:pPr>
        <w:spacing w:line="480" w:lineRule="auto"/>
        <w:ind w:firstLine="567"/>
        <w:rPr>
          <w:rFonts w:ascii="Times New Roman" w:hAnsi="Times New Roman" w:cs="Times New Roman"/>
          <w:sz w:val="26"/>
          <w:szCs w:val="26"/>
        </w:rPr>
      </w:pPr>
      <w:r w:rsidRPr="0012747A">
        <w:rPr>
          <w:rFonts w:ascii="Times New Roman" w:hAnsi="Times New Roman" w:cs="Times New Roman"/>
          <w:sz w:val="26"/>
          <w:szCs w:val="26"/>
        </w:rPr>
        <w:t>Trong trường hợp của IELTS, sơ đồ công bố chính thức cho thấy band 4.0-5.0 nằm quanh B1, 5.5-6.5 nằm quanh B2 và 7.0-8.0 nằm quanh C1; band 8.5 trở lên được công nhận là C2. IELTS cũng lưu ý rõ rằng band 6.5 có thể nằm ở vùng ranh giới giữa B2 và C1, còn band 8 là điểm biên trước C2.</w:t>
      </w:r>
    </w:p>
    <w:p w:rsidR="004576DE" w:rsidRPr="0012747A" w:rsidRDefault="0012747A" w:rsidP="0012747A">
      <w:pPr>
        <w:spacing w:line="480" w:lineRule="auto"/>
        <w:ind w:firstLine="567"/>
        <w:rPr>
          <w:rFonts w:ascii="Times New Roman" w:hAnsi="Times New Roman" w:cs="Times New Roman"/>
          <w:sz w:val="26"/>
          <w:szCs w:val="26"/>
        </w:rPr>
      </w:pPr>
      <w:r w:rsidRPr="0012747A">
        <w:rPr>
          <w:rFonts w:ascii="Times New Roman" w:hAnsi="Times New Roman" w:cs="Times New Roman"/>
          <w:sz w:val="26"/>
          <w:szCs w:val="26"/>
        </w:rPr>
        <w:lastRenderedPageBreak/>
        <w:t>Một chỉ dấu bổ sung cho tính ổn định của các ngưỡng này là ở hệ thống IELTS for UKVI: IELTS công bố rằng các hồ sơ cần đạt CEFR B1 ở bốn kỹ năng phải có tối thiểu 4.0 ở từng kỹ năng; B2 phải có tối thiểu 5.5; và C1 phải có tối thiểu 7.0 ở từng kỹ năng. Điều này cho thấy các mốc 4.0, 5.5 và 7.0 tiếp tục được sử dụng như các ngưỡng vận hành thực tế trong bối cảnh sử dụng điểm IEL</w:t>
      </w:r>
      <w:r w:rsidRPr="0012747A">
        <w:rPr>
          <w:rFonts w:ascii="Times New Roman" w:hAnsi="Times New Roman" w:cs="Times New Roman"/>
          <w:sz w:val="26"/>
          <w:szCs w:val="26"/>
        </w:rPr>
        <w:t>TS.</w:t>
      </w:r>
    </w:p>
    <w:p w:rsidR="0012747A" w:rsidRPr="0012747A" w:rsidRDefault="0012747A" w:rsidP="0012747A">
      <w:pPr>
        <w:spacing w:line="480" w:lineRule="auto"/>
        <w:rPr>
          <w:rFonts w:ascii="Times New Roman" w:hAnsi="Times New Roman" w:cs="Times New Roman"/>
          <w:b/>
          <w:bCs/>
          <w:sz w:val="26"/>
          <w:szCs w:val="26"/>
        </w:rPr>
      </w:pPr>
    </w:p>
    <w:p w:rsidR="004576DE" w:rsidRPr="0012747A" w:rsidRDefault="004576DE" w:rsidP="0012747A">
      <w:pPr>
        <w:spacing w:line="480" w:lineRule="auto"/>
        <w:rPr>
          <w:rFonts w:ascii="Times New Roman" w:hAnsi="Times New Roman" w:cs="Times New Roman"/>
          <w:b/>
          <w:bCs/>
          <w:sz w:val="26"/>
          <w:szCs w:val="26"/>
        </w:rPr>
      </w:pPr>
      <w:r w:rsidRPr="0012747A">
        <w:rPr>
          <w:rFonts w:ascii="Times New Roman" w:hAnsi="Times New Roman" w:cs="Times New Roman"/>
          <w:b/>
          <w:bCs/>
          <w:sz w:val="26"/>
          <w:szCs w:val="26"/>
        </w:rPr>
        <w:t xml:space="preserve">3. </w:t>
      </w:r>
      <w:r w:rsidR="0012747A" w:rsidRPr="0012747A">
        <w:rPr>
          <w:rFonts w:ascii="Times New Roman" w:hAnsi="Times New Roman" w:cs="Times New Roman"/>
          <w:b/>
          <w:bCs/>
          <w:sz w:val="26"/>
          <w:szCs w:val="26"/>
        </w:rPr>
        <w:t>Dữ liệu và phương pháp</w:t>
      </w:r>
    </w:p>
    <w:p w:rsidR="0012747A" w:rsidRPr="0012747A" w:rsidRDefault="0012747A" w:rsidP="0012747A">
      <w:pPr>
        <w:spacing w:line="480" w:lineRule="auto"/>
        <w:ind w:firstLine="567"/>
        <w:rPr>
          <w:rFonts w:ascii="Times New Roman" w:hAnsi="Times New Roman" w:cs="Times New Roman"/>
          <w:sz w:val="26"/>
          <w:szCs w:val="26"/>
        </w:rPr>
      </w:pPr>
      <w:r w:rsidRPr="0012747A">
        <w:rPr>
          <w:rFonts w:ascii="Times New Roman" w:hAnsi="Times New Roman" w:cs="Times New Roman"/>
          <w:sz w:val="26"/>
          <w:szCs w:val="26"/>
        </w:rPr>
        <w:t>Bộ dữ liệu dùng trong phân tích gồm 307 hồ sơ ghép cặp NOCN-IELTS do đơn vị cung cấp, thu thập tại bốn quốc gia: Hy Lạp, Nga, UAE và Ấn Độ. Cấu trúc mẫu gồm 114 hồ sơ NOCN B1, 108 hồ sơ NOCN B2 và 85 hồ sơ NOCN C1.</w:t>
      </w:r>
    </w:p>
    <w:p w:rsidR="0012747A" w:rsidRPr="0012747A" w:rsidRDefault="0012747A" w:rsidP="0012747A">
      <w:pPr>
        <w:spacing w:line="480" w:lineRule="auto"/>
        <w:ind w:firstLine="567"/>
        <w:rPr>
          <w:rFonts w:ascii="Times New Roman" w:hAnsi="Times New Roman" w:cs="Times New Roman"/>
          <w:sz w:val="26"/>
          <w:szCs w:val="26"/>
        </w:rPr>
      </w:pPr>
      <w:r w:rsidRPr="0012747A">
        <w:rPr>
          <w:rFonts w:ascii="Times New Roman" w:hAnsi="Times New Roman" w:cs="Times New Roman"/>
          <w:sz w:val="26"/>
          <w:szCs w:val="26"/>
        </w:rPr>
        <w:t>Phân tích được thực hiện theo ba bước. Thứ nhất, bài viết tính thống kê mô tả cho IELTS Overall theo từng mức NOCN. Thứ hai, mỗi hồ sơ được gán mức CEFR từ IELTS Overall theo dải đang áp dụng trong bộ dữ liệu: B1 tương ứng 4.0-5.0, B2 tương ứng 5.5-6.5 và C1 tương ứng 7.0-8.0. Thứ ba, bài viết tính mức độ tương ứng giữa cấp độ NOCN và bậc CEFR suy ra từ IELTS, đồng thời xem xét tương quan giữa NOCN Total với IELTS Overall và theo từng kỹ năng.</w:t>
      </w:r>
    </w:p>
    <w:p w:rsidR="0012747A" w:rsidRPr="0012747A" w:rsidRDefault="0012747A" w:rsidP="0012747A">
      <w:pPr>
        <w:spacing w:line="480" w:lineRule="auto"/>
        <w:rPr>
          <w:rFonts w:ascii="Times New Roman" w:hAnsi="Times New Roman" w:cs="Times New Roman"/>
          <w:b/>
          <w:bCs/>
          <w:sz w:val="26"/>
          <w:szCs w:val="26"/>
        </w:rPr>
      </w:pPr>
    </w:p>
    <w:p w:rsidR="0012747A" w:rsidRDefault="0012747A" w:rsidP="003F0C46">
      <w:pPr>
        <w:spacing w:line="480" w:lineRule="auto"/>
        <w:rPr>
          <w:rFonts w:ascii="Times New Roman" w:hAnsi="Times New Roman" w:cs="Times New Roman"/>
          <w:b/>
          <w:bCs/>
          <w:sz w:val="26"/>
          <w:szCs w:val="26"/>
        </w:rPr>
      </w:pPr>
      <w:r w:rsidRPr="0012747A">
        <w:rPr>
          <w:rFonts w:ascii="Times New Roman" w:hAnsi="Times New Roman" w:cs="Times New Roman"/>
          <w:b/>
          <w:bCs/>
          <w:sz w:val="26"/>
          <w:szCs w:val="26"/>
        </w:rPr>
        <w:t>4</w:t>
      </w:r>
      <w:r w:rsidR="004576DE" w:rsidRPr="0012747A">
        <w:rPr>
          <w:rFonts w:ascii="Times New Roman" w:hAnsi="Times New Roman" w:cs="Times New Roman"/>
          <w:b/>
          <w:bCs/>
          <w:sz w:val="26"/>
          <w:szCs w:val="26"/>
        </w:rPr>
        <w:t xml:space="preserve">. Kết </w:t>
      </w:r>
      <w:r w:rsidRPr="0012747A">
        <w:rPr>
          <w:rFonts w:ascii="Times New Roman" w:hAnsi="Times New Roman" w:cs="Times New Roman"/>
          <w:b/>
          <w:bCs/>
          <w:sz w:val="26"/>
          <w:szCs w:val="26"/>
        </w:rPr>
        <w:t>quả</w:t>
      </w:r>
    </w:p>
    <w:p w:rsidR="003F0C46" w:rsidRPr="003F0C46" w:rsidRDefault="003F0C46" w:rsidP="003F0C46">
      <w:pPr>
        <w:pStyle w:val="Heading2"/>
        <w:spacing w:before="0" w:after="0" w:line="480" w:lineRule="auto"/>
        <w:jc w:val="center"/>
        <w:rPr>
          <w:rFonts w:ascii="Times New Roman" w:hAnsi="Times New Roman" w:cs="Times New Roman"/>
          <w:i/>
          <w:iCs/>
          <w:color w:val="000000" w:themeColor="text1"/>
          <w:sz w:val="26"/>
          <w:szCs w:val="26"/>
        </w:rPr>
      </w:pPr>
      <w:r w:rsidRPr="003F0C46">
        <w:rPr>
          <w:rFonts w:ascii="Times New Roman" w:hAnsi="Times New Roman" w:cs="Times New Roman"/>
          <w:i/>
          <w:iCs/>
          <w:color w:val="000000" w:themeColor="text1"/>
          <w:sz w:val="26"/>
          <w:szCs w:val="26"/>
        </w:rPr>
        <w:lastRenderedPageBreak/>
        <w:t xml:space="preserve">Table 1. </w:t>
      </w:r>
      <w:r>
        <w:rPr>
          <w:rFonts w:ascii="Times New Roman" w:hAnsi="Times New Roman" w:cs="Times New Roman"/>
          <w:i/>
          <w:iCs/>
          <w:color w:val="000000" w:themeColor="text1"/>
          <w:sz w:val="26"/>
          <w:szCs w:val="26"/>
        </w:rPr>
        <w:t>Tổng kết đối chiếu IELTS - NOCN</w:t>
      </w:r>
    </w:p>
    <w:tbl>
      <w:tblPr>
        <w:tblStyle w:val="TableGrid"/>
        <w:tblW w:w="0" w:type="auto"/>
        <w:jc w:val="center"/>
        <w:tblLook w:val="04A0" w:firstRow="1" w:lastRow="0" w:firstColumn="1" w:lastColumn="0" w:noHBand="0" w:noVBand="1"/>
      </w:tblPr>
      <w:tblGrid>
        <w:gridCol w:w="1159"/>
        <w:gridCol w:w="1151"/>
        <w:gridCol w:w="606"/>
        <w:gridCol w:w="1460"/>
        <w:gridCol w:w="1762"/>
        <w:gridCol w:w="1666"/>
        <w:gridCol w:w="1546"/>
      </w:tblGrid>
      <w:tr w:rsidR="003F0C46" w:rsidRPr="003F0C46" w:rsidTr="003F0C46">
        <w:trPr>
          <w:jc w:val="center"/>
        </w:trPr>
        <w:tc>
          <w:tcPr>
            <w:tcW w:w="0" w:type="auto"/>
            <w:shd w:val="clear" w:color="auto" w:fill="D9E2F3"/>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b/>
                <w:color w:val="000000" w:themeColor="text1"/>
                <w:sz w:val="26"/>
                <w:szCs w:val="26"/>
              </w:rPr>
              <w:t>NOCN level</w:t>
            </w:r>
          </w:p>
        </w:tc>
        <w:tc>
          <w:tcPr>
            <w:tcW w:w="0" w:type="auto"/>
            <w:shd w:val="clear" w:color="auto" w:fill="D9E2F3"/>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b/>
                <w:color w:val="000000" w:themeColor="text1"/>
                <w:sz w:val="26"/>
                <w:szCs w:val="26"/>
              </w:rPr>
              <w:t>CEFR target</w:t>
            </w:r>
          </w:p>
        </w:tc>
        <w:tc>
          <w:tcPr>
            <w:tcW w:w="0" w:type="auto"/>
            <w:shd w:val="clear" w:color="auto" w:fill="D9E2F3"/>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b/>
                <w:color w:val="000000" w:themeColor="text1"/>
                <w:sz w:val="26"/>
                <w:szCs w:val="26"/>
              </w:rPr>
              <w:t>n</w:t>
            </w:r>
          </w:p>
        </w:tc>
        <w:tc>
          <w:tcPr>
            <w:tcW w:w="0" w:type="auto"/>
            <w:shd w:val="clear" w:color="auto" w:fill="D9E2F3"/>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b/>
                <w:color w:val="000000" w:themeColor="text1"/>
                <w:sz w:val="26"/>
                <w:szCs w:val="26"/>
              </w:rPr>
              <w:t>Mean IELTS overall</w:t>
            </w:r>
          </w:p>
        </w:tc>
        <w:tc>
          <w:tcPr>
            <w:tcW w:w="0" w:type="auto"/>
            <w:shd w:val="clear" w:color="auto" w:fill="D9E2F3"/>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b/>
                <w:color w:val="000000" w:themeColor="text1"/>
                <w:sz w:val="26"/>
                <w:szCs w:val="26"/>
              </w:rPr>
              <w:t>Observed IELTS range</w:t>
            </w:r>
          </w:p>
        </w:tc>
        <w:tc>
          <w:tcPr>
            <w:tcW w:w="0" w:type="auto"/>
            <w:shd w:val="clear" w:color="auto" w:fill="D9E2F3"/>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b/>
                <w:color w:val="000000" w:themeColor="text1"/>
                <w:sz w:val="26"/>
                <w:szCs w:val="26"/>
              </w:rPr>
              <w:t>Within expected range</w:t>
            </w:r>
          </w:p>
        </w:tc>
        <w:tc>
          <w:tcPr>
            <w:tcW w:w="0" w:type="auto"/>
            <w:shd w:val="clear" w:color="auto" w:fill="D9E2F3"/>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b/>
                <w:color w:val="000000" w:themeColor="text1"/>
                <w:sz w:val="26"/>
                <w:szCs w:val="26"/>
              </w:rPr>
              <w:t>Alignment rate</w:t>
            </w:r>
          </w:p>
        </w:tc>
      </w:tr>
      <w:tr w:rsidR="003F0C46" w:rsidRPr="003F0C46" w:rsidTr="003F0C46">
        <w:trPr>
          <w:jc w:val="center"/>
        </w:trPr>
        <w:tc>
          <w:tcPr>
            <w:tcW w:w="0" w:type="auto"/>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B1</w:t>
            </w:r>
          </w:p>
        </w:tc>
        <w:tc>
          <w:tcPr>
            <w:tcW w:w="0" w:type="auto"/>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B1</w:t>
            </w:r>
          </w:p>
        </w:tc>
        <w:tc>
          <w:tcPr>
            <w:tcW w:w="0" w:type="auto"/>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114</w:t>
            </w:r>
          </w:p>
        </w:tc>
        <w:tc>
          <w:tcPr>
            <w:tcW w:w="0" w:type="auto"/>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4.97</w:t>
            </w:r>
          </w:p>
        </w:tc>
        <w:tc>
          <w:tcPr>
            <w:tcW w:w="0" w:type="auto"/>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4.0</w:t>
            </w:r>
            <w:r>
              <w:rPr>
                <w:rFonts w:ascii="Times New Roman" w:hAnsi="Times New Roman" w:cs="Times New Roman"/>
                <w:color w:val="000000" w:themeColor="text1"/>
                <w:sz w:val="26"/>
                <w:szCs w:val="26"/>
              </w:rPr>
              <w:t>-</w:t>
            </w:r>
            <w:r w:rsidRPr="003F0C46">
              <w:rPr>
                <w:rFonts w:ascii="Times New Roman" w:hAnsi="Times New Roman" w:cs="Times New Roman"/>
                <w:color w:val="000000" w:themeColor="text1"/>
                <w:sz w:val="26"/>
                <w:szCs w:val="26"/>
              </w:rPr>
              <w:t>5.5</w:t>
            </w:r>
          </w:p>
        </w:tc>
        <w:tc>
          <w:tcPr>
            <w:tcW w:w="0" w:type="auto"/>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111/114</w:t>
            </w:r>
          </w:p>
        </w:tc>
        <w:tc>
          <w:tcPr>
            <w:tcW w:w="0" w:type="auto"/>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97.4%</w:t>
            </w:r>
          </w:p>
        </w:tc>
      </w:tr>
      <w:tr w:rsidR="003F0C46" w:rsidRPr="003F0C46" w:rsidTr="003F0C46">
        <w:trPr>
          <w:jc w:val="center"/>
        </w:trPr>
        <w:tc>
          <w:tcPr>
            <w:tcW w:w="0" w:type="auto"/>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B2</w:t>
            </w:r>
          </w:p>
        </w:tc>
        <w:tc>
          <w:tcPr>
            <w:tcW w:w="0" w:type="auto"/>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B2</w:t>
            </w:r>
          </w:p>
        </w:tc>
        <w:tc>
          <w:tcPr>
            <w:tcW w:w="0" w:type="auto"/>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108</w:t>
            </w:r>
          </w:p>
        </w:tc>
        <w:tc>
          <w:tcPr>
            <w:tcW w:w="0" w:type="auto"/>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6.11</w:t>
            </w:r>
          </w:p>
        </w:tc>
        <w:tc>
          <w:tcPr>
            <w:tcW w:w="0" w:type="auto"/>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5.5</w:t>
            </w:r>
            <w:r>
              <w:rPr>
                <w:rFonts w:ascii="Times New Roman" w:hAnsi="Times New Roman" w:cs="Times New Roman"/>
                <w:color w:val="000000" w:themeColor="text1"/>
                <w:sz w:val="26"/>
                <w:szCs w:val="26"/>
              </w:rPr>
              <w:t>-</w:t>
            </w:r>
            <w:r w:rsidRPr="003F0C46">
              <w:rPr>
                <w:rFonts w:ascii="Times New Roman" w:hAnsi="Times New Roman" w:cs="Times New Roman"/>
                <w:color w:val="000000" w:themeColor="text1"/>
                <w:sz w:val="26"/>
                <w:szCs w:val="26"/>
              </w:rPr>
              <w:t>6.5</w:t>
            </w:r>
          </w:p>
        </w:tc>
        <w:tc>
          <w:tcPr>
            <w:tcW w:w="0" w:type="auto"/>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108/108</w:t>
            </w:r>
          </w:p>
        </w:tc>
        <w:tc>
          <w:tcPr>
            <w:tcW w:w="0" w:type="auto"/>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100.0%</w:t>
            </w:r>
          </w:p>
        </w:tc>
      </w:tr>
      <w:tr w:rsidR="003F0C46" w:rsidRPr="003F0C46" w:rsidTr="003F0C46">
        <w:trPr>
          <w:jc w:val="center"/>
        </w:trPr>
        <w:tc>
          <w:tcPr>
            <w:tcW w:w="0" w:type="auto"/>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C1</w:t>
            </w:r>
          </w:p>
        </w:tc>
        <w:tc>
          <w:tcPr>
            <w:tcW w:w="0" w:type="auto"/>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C1</w:t>
            </w:r>
          </w:p>
        </w:tc>
        <w:tc>
          <w:tcPr>
            <w:tcW w:w="0" w:type="auto"/>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85</w:t>
            </w:r>
          </w:p>
        </w:tc>
        <w:tc>
          <w:tcPr>
            <w:tcW w:w="0" w:type="auto"/>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7.74</w:t>
            </w:r>
          </w:p>
        </w:tc>
        <w:tc>
          <w:tcPr>
            <w:tcW w:w="0" w:type="auto"/>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7.5</w:t>
            </w:r>
            <w:r>
              <w:rPr>
                <w:rFonts w:ascii="Times New Roman" w:hAnsi="Times New Roman" w:cs="Times New Roman"/>
                <w:color w:val="000000" w:themeColor="text1"/>
                <w:sz w:val="26"/>
                <w:szCs w:val="26"/>
              </w:rPr>
              <w:t>-</w:t>
            </w:r>
            <w:r w:rsidRPr="003F0C46">
              <w:rPr>
                <w:rFonts w:ascii="Times New Roman" w:hAnsi="Times New Roman" w:cs="Times New Roman"/>
                <w:color w:val="000000" w:themeColor="text1"/>
                <w:sz w:val="26"/>
                <w:szCs w:val="26"/>
              </w:rPr>
              <w:t>8.0</w:t>
            </w:r>
          </w:p>
        </w:tc>
        <w:tc>
          <w:tcPr>
            <w:tcW w:w="0" w:type="auto"/>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85/85</w:t>
            </w:r>
          </w:p>
        </w:tc>
        <w:tc>
          <w:tcPr>
            <w:tcW w:w="0" w:type="auto"/>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100.0%</w:t>
            </w:r>
          </w:p>
        </w:tc>
      </w:tr>
      <w:tr w:rsidR="003F0C46" w:rsidRPr="003F0C46" w:rsidTr="003F0C46">
        <w:trPr>
          <w:jc w:val="center"/>
        </w:trPr>
        <w:tc>
          <w:tcPr>
            <w:tcW w:w="0" w:type="auto"/>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Total</w:t>
            </w:r>
          </w:p>
        </w:tc>
        <w:tc>
          <w:tcPr>
            <w:tcW w:w="0" w:type="auto"/>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w:t>
            </w:r>
          </w:p>
        </w:tc>
        <w:tc>
          <w:tcPr>
            <w:tcW w:w="0" w:type="auto"/>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307</w:t>
            </w:r>
          </w:p>
        </w:tc>
        <w:tc>
          <w:tcPr>
            <w:tcW w:w="0" w:type="auto"/>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w:t>
            </w:r>
          </w:p>
        </w:tc>
        <w:tc>
          <w:tcPr>
            <w:tcW w:w="0" w:type="auto"/>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w:t>
            </w:r>
          </w:p>
        </w:tc>
        <w:tc>
          <w:tcPr>
            <w:tcW w:w="0" w:type="auto"/>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304/307</w:t>
            </w:r>
          </w:p>
        </w:tc>
        <w:tc>
          <w:tcPr>
            <w:tcW w:w="0" w:type="auto"/>
            <w:vAlign w:val="center"/>
          </w:tcPr>
          <w:p w:rsidR="003F0C46" w:rsidRPr="003F0C46" w:rsidRDefault="003F0C46" w:rsidP="003F0C46">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99.0%</w:t>
            </w:r>
          </w:p>
        </w:tc>
      </w:tr>
    </w:tbl>
    <w:p w:rsidR="003F0C46" w:rsidRPr="0012747A" w:rsidRDefault="003F0C46" w:rsidP="003F0C46">
      <w:pPr>
        <w:spacing w:line="480" w:lineRule="auto"/>
        <w:rPr>
          <w:rFonts w:ascii="Times New Roman" w:hAnsi="Times New Roman" w:cs="Times New Roman"/>
          <w:b/>
          <w:bCs/>
          <w:sz w:val="26"/>
          <w:szCs w:val="26"/>
        </w:rPr>
      </w:pPr>
    </w:p>
    <w:p w:rsidR="0012747A" w:rsidRPr="0012747A" w:rsidRDefault="0012747A" w:rsidP="003F0C46">
      <w:pPr>
        <w:spacing w:line="480" w:lineRule="auto"/>
        <w:ind w:firstLine="567"/>
        <w:rPr>
          <w:rFonts w:ascii="Times New Roman" w:hAnsi="Times New Roman" w:cs="Times New Roman"/>
          <w:sz w:val="26"/>
          <w:szCs w:val="26"/>
        </w:rPr>
      </w:pPr>
      <w:r w:rsidRPr="0012747A">
        <w:rPr>
          <w:rFonts w:ascii="Times New Roman" w:hAnsi="Times New Roman" w:cs="Times New Roman"/>
          <w:sz w:val="26"/>
          <w:szCs w:val="26"/>
        </w:rPr>
        <w:t>Kết quả tổng thể cho thấy 304/307 trường hợp, tương đương 99,0%, cho ra cùng một bậc CEFR giữa cấp độ NOCN và mức suy ra từ IELTS Overall. Chỉ có 3 trường hợp cần rà soát, và cả 3 đều thuộc nhóm NOCN B1 nhưng đạt IELTS 5.5. Đây là một mẫu hình đáng chú ý vì 5.5 chính là vùng chuyển sang B2 trong sơ đồ IELTS, đồng thời cũng phù hợp với lưu ý chính thức của IELTS rằng một số điểm biên không khớp hoàn toàn với ranh giới CEFR.</w:t>
      </w:r>
    </w:p>
    <w:p w:rsidR="0012747A" w:rsidRPr="0012747A" w:rsidRDefault="0012747A" w:rsidP="0012747A">
      <w:pPr>
        <w:spacing w:line="480" w:lineRule="auto"/>
        <w:ind w:firstLine="567"/>
        <w:rPr>
          <w:rFonts w:ascii="Times New Roman" w:hAnsi="Times New Roman" w:cs="Times New Roman"/>
          <w:sz w:val="26"/>
          <w:szCs w:val="26"/>
        </w:rPr>
      </w:pPr>
      <w:r w:rsidRPr="0012747A">
        <w:rPr>
          <w:rFonts w:ascii="Times New Roman" w:hAnsi="Times New Roman" w:cs="Times New Roman"/>
          <w:sz w:val="26"/>
          <w:szCs w:val="26"/>
        </w:rPr>
        <w:t>Ở nhóm NOCN B1, điểm IELTS Overall trung bình là 4,97, độ lệch chuẩn 0,19, khoảng quan sát từ 4,0 đến 5,5. Trong nhóm này, 111/114 hồ sơ, tương đương 97,4%, nằm trọn trong dải 4.0-5.0.</w:t>
      </w:r>
    </w:p>
    <w:p w:rsidR="0012747A" w:rsidRPr="0012747A" w:rsidRDefault="0012747A" w:rsidP="0012747A">
      <w:pPr>
        <w:spacing w:line="480" w:lineRule="auto"/>
        <w:ind w:firstLine="567"/>
        <w:rPr>
          <w:rFonts w:ascii="Times New Roman" w:hAnsi="Times New Roman" w:cs="Times New Roman"/>
          <w:sz w:val="26"/>
          <w:szCs w:val="26"/>
        </w:rPr>
      </w:pPr>
      <w:r w:rsidRPr="0012747A">
        <w:rPr>
          <w:rFonts w:ascii="Times New Roman" w:hAnsi="Times New Roman" w:cs="Times New Roman"/>
          <w:sz w:val="26"/>
          <w:szCs w:val="26"/>
        </w:rPr>
        <w:t>Ở nhóm NOCN B2, điểm IELTS Overall trung bình là 6,11, độ lệch chuẩn 0,24, khoảng quan sát từ 5,5 đến 6,5. Toàn bộ 108/108 hồ sơ, tương đương 100%, nằm trong dải 5.5-6.5.</w:t>
      </w:r>
    </w:p>
    <w:p w:rsidR="0012747A" w:rsidRPr="0012747A" w:rsidRDefault="0012747A" w:rsidP="0012747A">
      <w:pPr>
        <w:spacing w:line="480" w:lineRule="auto"/>
        <w:ind w:firstLine="567"/>
        <w:rPr>
          <w:rFonts w:ascii="Times New Roman" w:hAnsi="Times New Roman" w:cs="Times New Roman"/>
          <w:sz w:val="26"/>
          <w:szCs w:val="26"/>
        </w:rPr>
      </w:pPr>
      <w:r w:rsidRPr="0012747A">
        <w:rPr>
          <w:rFonts w:ascii="Times New Roman" w:hAnsi="Times New Roman" w:cs="Times New Roman"/>
          <w:sz w:val="26"/>
          <w:szCs w:val="26"/>
        </w:rPr>
        <w:lastRenderedPageBreak/>
        <w:t>Ở nhóm NOCN C1, điểm IELTS Overall trung bình là 7,74, độ lệch chuẩn 0,25, khoảng quan sát từ 7,5 đến 8,0. Toàn bộ 85/85 hồ sơ, tương đương 100%, nằm trong dải C1.</w:t>
      </w:r>
    </w:p>
    <w:p w:rsidR="0012747A" w:rsidRPr="0012747A" w:rsidRDefault="0012747A" w:rsidP="0012747A">
      <w:pPr>
        <w:spacing w:line="480" w:lineRule="auto"/>
        <w:ind w:firstLine="567"/>
        <w:rPr>
          <w:rFonts w:ascii="Times New Roman" w:hAnsi="Times New Roman" w:cs="Times New Roman"/>
          <w:sz w:val="26"/>
          <w:szCs w:val="26"/>
        </w:rPr>
      </w:pPr>
      <w:r w:rsidRPr="0012747A">
        <w:rPr>
          <w:rFonts w:ascii="Times New Roman" w:hAnsi="Times New Roman" w:cs="Times New Roman"/>
          <w:sz w:val="26"/>
          <w:szCs w:val="26"/>
        </w:rPr>
        <w:t>Phân tích phương sai cho thấy khác biệt IELTS Overall giữa ba mức NOCN là rất lớn và có ý nghĩa thống kê, với F(2, 304) = 3683,91, p &lt; .001, eta squared = .960. Nói cách khác, riêng biến cấp độ NOCN đã giải thích khoảng 96,0% phương sai của IELTS Overall trong bộ dữ liệu này.</w:t>
      </w:r>
    </w:p>
    <w:p w:rsidR="0012747A" w:rsidRPr="0012747A" w:rsidRDefault="0012747A" w:rsidP="0012747A">
      <w:pPr>
        <w:spacing w:line="480" w:lineRule="auto"/>
        <w:ind w:firstLine="567"/>
        <w:rPr>
          <w:rFonts w:ascii="Times New Roman" w:hAnsi="Times New Roman" w:cs="Times New Roman"/>
          <w:sz w:val="26"/>
          <w:szCs w:val="26"/>
        </w:rPr>
      </w:pPr>
      <w:r w:rsidRPr="0012747A">
        <w:rPr>
          <w:rFonts w:ascii="Times New Roman" w:hAnsi="Times New Roman" w:cs="Times New Roman"/>
          <w:sz w:val="26"/>
          <w:szCs w:val="26"/>
        </w:rPr>
        <w:t>Tương quan Pearson giữa NOCN Total và IELTS Overall đạt r = .652. Khi xét theo từng kỹ năng, hệ số tương quan lần lượt là Listening r = .543, Reading r = .503, Writing r = .478 và Speaking r = .520. Mức tương quan này cho thấy hai hệ thống đang phản ánh cùng một trục năng lực ngôn ngữ ở mức đáng kể, dù không đồng nhất hoàn toàn về định dạng nhiệm vụ, thang điểm và quy trình báo cáo kết quả.</w:t>
      </w:r>
    </w:p>
    <w:p w:rsidR="0012747A" w:rsidRPr="0012747A" w:rsidRDefault="0012747A" w:rsidP="0012747A">
      <w:pPr>
        <w:spacing w:line="480" w:lineRule="auto"/>
        <w:rPr>
          <w:rFonts w:ascii="Times New Roman" w:hAnsi="Times New Roman" w:cs="Times New Roman"/>
          <w:sz w:val="26"/>
          <w:szCs w:val="26"/>
        </w:rPr>
      </w:pPr>
    </w:p>
    <w:p w:rsidR="0012747A" w:rsidRPr="0012747A" w:rsidRDefault="0012747A" w:rsidP="0012747A">
      <w:pPr>
        <w:spacing w:line="480" w:lineRule="auto"/>
        <w:rPr>
          <w:rFonts w:ascii="Times New Roman" w:hAnsi="Times New Roman" w:cs="Times New Roman"/>
          <w:b/>
          <w:bCs/>
          <w:sz w:val="26"/>
          <w:szCs w:val="26"/>
        </w:rPr>
      </w:pPr>
      <w:r w:rsidRPr="0012747A">
        <w:rPr>
          <w:rFonts w:ascii="Times New Roman" w:hAnsi="Times New Roman" w:cs="Times New Roman"/>
          <w:b/>
          <w:bCs/>
          <w:sz w:val="26"/>
          <w:szCs w:val="26"/>
        </w:rPr>
        <w:t xml:space="preserve">5. Phân tích </w:t>
      </w:r>
    </w:p>
    <w:p w:rsidR="0012747A" w:rsidRPr="0012747A" w:rsidRDefault="0012747A" w:rsidP="0012747A">
      <w:pPr>
        <w:spacing w:line="480" w:lineRule="auto"/>
        <w:ind w:firstLine="567"/>
        <w:rPr>
          <w:rFonts w:ascii="Times New Roman" w:hAnsi="Times New Roman" w:cs="Times New Roman"/>
          <w:sz w:val="26"/>
          <w:szCs w:val="26"/>
        </w:rPr>
      </w:pPr>
      <w:r w:rsidRPr="0012747A">
        <w:rPr>
          <w:rFonts w:ascii="Times New Roman" w:hAnsi="Times New Roman" w:cs="Times New Roman"/>
          <w:sz w:val="26"/>
          <w:szCs w:val="26"/>
        </w:rPr>
        <w:t>Từ góc độ truyền thông học thuật, kết quả trên cho phép NOCN đưa ra một thông điệp rõ ràng và thận trọng: các cấp độ NOCN B1, B2 và C1 cho thấy sự tương ứng mạnh với các dải điểm IELTS khoảng 4.0-5.0, 5.5-6.5 và 7.0-8.0 khi được diễn giải thông qua CEFR. Cách diễn đạt này có ưu điểm là vừa dễ hiểu với các bên sử dụng quen thuộc với IELTS, vừa không vượt quá giới hạn học thuật của việc đối chiếu giữa hai hệ thống đo lường khác nhau.</w:t>
      </w:r>
    </w:p>
    <w:p w:rsidR="0012747A" w:rsidRPr="0012747A" w:rsidRDefault="0012747A" w:rsidP="0012747A">
      <w:pPr>
        <w:spacing w:line="480" w:lineRule="auto"/>
        <w:ind w:firstLine="567"/>
        <w:rPr>
          <w:rFonts w:ascii="Times New Roman" w:hAnsi="Times New Roman" w:cs="Times New Roman"/>
          <w:sz w:val="26"/>
          <w:szCs w:val="26"/>
        </w:rPr>
      </w:pPr>
      <w:r w:rsidRPr="0012747A">
        <w:rPr>
          <w:rFonts w:ascii="Times New Roman" w:hAnsi="Times New Roman" w:cs="Times New Roman"/>
          <w:sz w:val="26"/>
          <w:szCs w:val="26"/>
        </w:rPr>
        <w:t xml:space="preserve">Điểm quan trọng là không nên viết theo hướng “NOCN B2 = IELTS 6.0” hay “NOCN C1 = IELTS 7.5” như một phép quy đổi cứng. Chính IELTS lưu ý rằng band 6.5 </w:t>
      </w:r>
      <w:r w:rsidRPr="0012747A">
        <w:rPr>
          <w:rFonts w:ascii="Times New Roman" w:hAnsi="Times New Roman" w:cs="Times New Roman"/>
          <w:sz w:val="26"/>
          <w:szCs w:val="26"/>
        </w:rPr>
        <w:lastRenderedPageBreak/>
        <w:t>có thể nằm giữa B2 và C1, band 8 là điểm biên trước C2, và việc căn chỉnh với CEFR chỉ nên được hiểu như một hướng dẫn diễn giải. Đồng thời, Hội đồng châu Âu cũng nhấn mạnh rằng các tuyên bố liên kết cần được đặt trên nền tảng bằng chứng và minh bạch phương pháp.</w:t>
      </w:r>
    </w:p>
    <w:p w:rsidR="0012747A" w:rsidRPr="0012747A" w:rsidRDefault="0012747A" w:rsidP="0012747A">
      <w:pPr>
        <w:spacing w:line="480" w:lineRule="auto"/>
        <w:ind w:firstLine="567"/>
        <w:rPr>
          <w:rFonts w:ascii="Times New Roman" w:hAnsi="Times New Roman" w:cs="Times New Roman"/>
          <w:sz w:val="26"/>
          <w:szCs w:val="26"/>
        </w:rPr>
      </w:pPr>
      <w:r w:rsidRPr="0012747A">
        <w:rPr>
          <w:rFonts w:ascii="Times New Roman" w:hAnsi="Times New Roman" w:cs="Times New Roman"/>
          <w:sz w:val="26"/>
          <w:szCs w:val="26"/>
        </w:rPr>
        <w:t>Vì thế, các cấp độ NOCN ESOL International cho thấy sự tương ứng mạnh với các dải điểm IELTS nhất định, trên cơ sở khung CEFR và bằng chứng thực nghiệm từ dữ liệu ghép cặp. Đây là một cách diễn giải vừa chắc về học thuật, vừa an toàn về mặt truyền thông.</w:t>
      </w:r>
    </w:p>
    <w:p w:rsidR="0012747A" w:rsidRPr="0012747A" w:rsidRDefault="0012747A" w:rsidP="0012747A">
      <w:pPr>
        <w:spacing w:line="480" w:lineRule="auto"/>
        <w:ind w:firstLine="567"/>
        <w:rPr>
          <w:rFonts w:ascii="Times New Roman" w:hAnsi="Times New Roman" w:cs="Times New Roman"/>
          <w:sz w:val="26"/>
          <w:szCs w:val="26"/>
        </w:rPr>
      </w:pPr>
    </w:p>
    <w:p w:rsidR="0012747A" w:rsidRPr="0012747A" w:rsidRDefault="0012747A" w:rsidP="0012747A">
      <w:pPr>
        <w:spacing w:line="480" w:lineRule="auto"/>
        <w:rPr>
          <w:rFonts w:ascii="Times New Roman" w:hAnsi="Times New Roman" w:cs="Times New Roman"/>
          <w:b/>
          <w:bCs/>
          <w:sz w:val="26"/>
          <w:szCs w:val="26"/>
        </w:rPr>
      </w:pPr>
      <w:r w:rsidRPr="0012747A">
        <w:rPr>
          <w:rFonts w:ascii="Times New Roman" w:hAnsi="Times New Roman" w:cs="Times New Roman"/>
          <w:b/>
          <w:bCs/>
          <w:sz w:val="26"/>
          <w:szCs w:val="26"/>
        </w:rPr>
        <w:t>6. Kết luận</w:t>
      </w:r>
    </w:p>
    <w:p w:rsidR="0012747A" w:rsidRPr="0012747A" w:rsidRDefault="0012747A" w:rsidP="0012747A">
      <w:pPr>
        <w:spacing w:line="480" w:lineRule="auto"/>
        <w:ind w:firstLine="567"/>
        <w:rPr>
          <w:rFonts w:ascii="Times New Roman" w:hAnsi="Times New Roman" w:cs="Times New Roman"/>
          <w:sz w:val="26"/>
          <w:szCs w:val="26"/>
        </w:rPr>
      </w:pPr>
      <w:r w:rsidRPr="0012747A">
        <w:rPr>
          <w:rFonts w:ascii="Times New Roman" w:hAnsi="Times New Roman" w:cs="Times New Roman"/>
          <w:sz w:val="26"/>
          <w:szCs w:val="26"/>
        </w:rPr>
        <w:t>Trên bộ dữ liệu 307 hồ sơ ghép cặp, các cấp độ NOCN B1, B2 và C1 cho thấy sự tương ứng rất mạnh với IELTS ở cấp độ trình độ. Tỷ lệ đồng nhất theo CEFR đạt 99,0%, điểm IELTS trung bình tăng tuần tự và tách biệt rõ giữa ba mức, còn tương quan điểm số tổng thể đạt mức đáng kể. Tổng hợp lại, bằng chứng hiện có ủng hộ cách diễn giải sau:</w:t>
      </w:r>
    </w:p>
    <w:p w:rsidR="0012747A" w:rsidRPr="0012747A" w:rsidRDefault="0012747A" w:rsidP="0012747A">
      <w:pPr>
        <w:spacing w:line="480" w:lineRule="auto"/>
        <w:rPr>
          <w:rFonts w:ascii="Times New Roman" w:hAnsi="Times New Roman" w:cs="Times New Roman"/>
          <w:sz w:val="26"/>
          <w:szCs w:val="26"/>
        </w:rPr>
      </w:pPr>
    </w:p>
    <w:p w:rsidR="0012747A" w:rsidRPr="0012747A" w:rsidRDefault="0012747A" w:rsidP="0012747A">
      <w:pPr>
        <w:pStyle w:val="ListParagraph"/>
        <w:numPr>
          <w:ilvl w:val="0"/>
          <w:numId w:val="39"/>
        </w:numPr>
        <w:spacing w:line="480" w:lineRule="auto"/>
        <w:rPr>
          <w:rFonts w:ascii="Times New Roman" w:hAnsi="Times New Roman" w:cs="Times New Roman"/>
          <w:sz w:val="26"/>
          <w:szCs w:val="26"/>
        </w:rPr>
      </w:pPr>
      <w:r w:rsidRPr="0012747A">
        <w:rPr>
          <w:rFonts w:ascii="Times New Roman" w:hAnsi="Times New Roman" w:cs="Times New Roman"/>
          <w:sz w:val="26"/>
          <w:szCs w:val="26"/>
        </w:rPr>
        <w:t>NOCN B1 tương ứng mạnh với IELTS khoảng 4.0-5.0</w:t>
      </w:r>
    </w:p>
    <w:p w:rsidR="0012747A" w:rsidRPr="0012747A" w:rsidRDefault="0012747A" w:rsidP="0012747A">
      <w:pPr>
        <w:pStyle w:val="ListParagraph"/>
        <w:numPr>
          <w:ilvl w:val="0"/>
          <w:numId w:val="39"/>
        </w:numPr>
        <w:spacing w:line="480" w:lineRule="auto"/>
        <w:rPr>
          <w:rFonts w:ascii="Times New Roman" w:hAnsi="Times New Roman" w:cs="Times New Roman"/>
          <w:sz w:val="26"/>
          <w:szCs w:val="26"/>
        </w:rPr>
      </w:pPr>
      <w:r w:rsidRPr="0012747A">
        <w:rPr>
          <w:rFonts w:ascii="Times New Roman" w:hAnsi="Times New Roman" w:cs="Times New Roman"/>
          <w:sz w:val="26"/>
          <w:szCs w:val="26"/>
        </w:rPr>
        <w:t>NOCN B2 tương ứng mạnh với IELTS khoảng 5.5-6.5</w:t>
      </w:r>
    </w:p>
    <w:p w:rsidR="0012747A" w:rsidRPr="0012747A" w:rsidRDefault="0012747A" w:rsidP="0012747A">
      <w:pPr>
        <w:pStyle w:val="ListParagraph"/>
        <w:numPr>
          <w:ilvl w:val="0"/>
          <w:numId w:val="39"/>
        </w:numPr>
        <w:spacing w:line="480" w:lineRule="auto"/>
        <w:rPr>
          <w:rFonts w:ascii="Times New Roman" w:hAnsi="Times New Roman" w:cs="Times New Roman"/>
          <w:sz w:val="26"/>
          <w:szCs w:val="26"/>
        </w:rPr>
      </w:pPr>
      <w:r w:rsidRPr="0012747A">
        <w:rPr>
          <w:rFonts w:ascii="Times New Roman" w:hAnsi="Times New Roman" w:cs="Times New Roman"/>
          <w:sz w:val="26"/>
          <w:szCs w:val="26"/>
        </w:rPr>
        <w:t>NOCN C1 tương ứng mạnh với IELTS khoảng 7.0-8.0</w:t>
      </w:r>
    </w:p>
    <w:p w:rsidR="00576781" w:rsidRPr="0012747A" w:rsidRDefault="0012747A" w:rsidP="0012747A">
      <w:pPr>
        <w:spacing w:line="480" w:lineRule="auto"/>
        <w:rPr>
          <w:rFonts w:ascii="Times New Roman" w:hAnsi="Times New Roman" w:cs="Times New Roman"/>
          <w:b/>
          <w:bCs/>
          <w:sz w:val="26"/>
          <w:szCs w:val="26"/>
        </w:rPr>
      </w:pPr>
      <w:r w:rsidRPr="0012747A">
        <w:rPr>
          <w:rFonts w:ascii="Times New Roman" w:hAnsi="Times New Roman" w:cs="Times New Roman"/>
          <w:sz w:val="26"/>
          <w:szCs w:val="26"/>
        </w:rPr>
        <w:t>Tuy nhiên, đây nên được hiểu là đối chiếu ngang về trình độ thông qua CEFR, không phải là quy đổi một-một giữa hai thang điểm.</w:t>
      </w:r>
      <w:r w:rsidR="00576781" w:rsidRPr="0012747A">
        <w:rPr>
          <w:rFonts w:ascii="Times New Roman" w:hAnsi="Times New Roman" w:cs="Times New Roman"/>
          <w:sz w:val="26"/>
          <w:szCs w:val="26"/>
        </w:rPr>
        <w:br w:type="page"/>
      </w:r>
    </w:p>
    <w:p w:rsidR="00935B90" w:rsidRPr="0012747A" w:rsidRDefault="00576781" w:rsidP="0012747A">
      <w:pPr>
        <w:spacing w:line="480" w:lineRule="auto"/>
        <w:rPr>
          <w:rFonts w:ascii="Times New Roman" w:hAnsi="Times New Roman" w:cs="Times New Roman"/>
          <w:b/>
          <w:bCs/>
          <w:sz w:val="26"/>
          <w:szCs w:val="26"/>
        </w:rPr>
      </w:pPr>
      <w:r w:rsidRPr="0012747A">
        <w:rPr>
          <w:rFonts w:ascii="Times New Roman" w:hAnsi="Times New Roman" w:cs="Times New Roman"/>
          <w:b/>
          <w:bCs/>
          <w:sz w:val="26"/>
          <w:szCs w:val="26"/>
        </w:rPr>
        <w:lastRenderedPageBreak/>
        <w:t>Tài liệu tham khảo</w:t>
      </w:r>
    </w:p>
    <w:p w:rsidR="0012747A" w:rsidRPr="0012747A" w:rsidRDefault="0012747A" w:rsidP="0012747A">
      <w:pPr>
        <w:pStyle w:val="NormalWeb"/>
        <w:spacing w:before="0" w:beforeAutospacing="0" w:after="0" w:afterAutospacing="0" w:line="480" w:lineRule="auto"/>
        <w:ind w:firstLine="567"/>
        <w:rPr>
          <w:sz w:val="26"/>
          <w:szCs w:val="26"/>
        </w:rPr>
      </w:pPr>
      <w:r w:rsidRPr="0012747A">
        <w:rPr>
          <w:sz w:val="26"/>
          <w:szCs w:val="26"/>
        </w:rPr>
        <w:t xml:space="preserve">Council of Europe. (2009). </w:t>
      </w:r>
      <w:r w:rsidRPr="0012747A">
        <w:rPr>
          <w:rStyle w:val="Emphasis"/>
          <w:rFonts w:eastAsiaTheme="majorEastAsia"/>
          <w:sz w:val="26"/>
          <w:szCs w:val="26"/>
        </w:rPr>
        <w:t>Relating language examinations to the Common European Framework of Reference for Languages: Learning, teaching, assessment (CEFR): A manual</w:t>
      </w:r>
      <w:r w:rsidRPr="0012747A">
        <w:rPr>
          <w:sz w:val="26"/>
          <w:szCs w:val="26"/>
        </w:rPr>
        <w:t xml:space="preserve">. Language Policy Division. </w:t>
      </w:r>
    </w:p>
    <w:p w:rsidR="0012747A" w:rsidRPr="0012747A" w:rsidRDefault="0012747A" w:rsidP="0012747A">
      <w:pPr>
        <w:pStyle w:val="NormalWeb"/>
        <w:spacing w:before="0" w:beforeAutospacing="0" w:after="0" w:afterAutospacing="0" w:line="480" w:lineRule="auto"/>
        <w:ind w:firstLine="567"/>
        <w:rPr>
          <w:sz w:val="26"/>
          <w:szCs w:val="26"/>
        </w:rPr>
      </w:pPr>
      <w:r w:rsidRPr="0012747A">
        <w:rPr>
          <w:sz w:val="26"/>
          <w:szCs w:val="26"/>
        </w:rPr>
        <w:t xml:space="preserve">Council of Europe. (2020). </w:t>
      </w:r>
      <w:r w:rsidRPr="0012747A">
        <w:rPr>
          <w:rStyle w:val="Emphasis"/>
          <w:rFonts w:eastAsiaTheme="majorEastAsia"/>
          <w:sz w:val="26"/>
          <w:szCs w:val="26"/>
        </w:rPr>
        <w:t>Common European Framework of Reference for Languages: Learning, teaching, assessment - Companion volume</w:t>
      </w:r>
      <w:r w:rsidRPr="0012747A">
        <w:rPr>
          <w:sz w:val="26"/>
          <w:szCs w:val="26"/>
        </w:rPr>
        <w:t xml:space="preserve">. Council of Europe Publishing. </w:t>
      </w:r>
    </w:p>
    <w:p w:rsidR="0012747A" w:rsidRPr="0012747A" w:rsidRDefault="0012747A" w:rsidP="0012747A">
      <w:pPr>
        <w:pStyle w:val="NormalWeb"/>
        <w:spacing w:before="0" w:beforeAutospacing="0" w:after="0" w:afterAutospacing="0" w:line="480" w:lineRule="auto"/>
        <w:ind w:firstLine="567"/>
        <w:rPr>
          <w:sz w:val="26"/>
          <w:szCs w:val="26"/>
        </w:rPr>
      </w:pPr>
      <w:r w:rsidRPr="0012747A">
        <w:rPr>
          <w:sz w:val="26"/>
          <w:szCs w:val="26"/>
        </w:rPr>
        <w:t xml:space="preserve">IELTS. (2025). </w:t>
      </w:r>
      <w:r w:rsidRPr="0012747A">
        <w:rPr>
          <w:rStyle w:val="Emphasis"/>
          <w:rFonts w:eastAsiaTheme="majorEastAsia"/>
          <w:sz w:val="26"/>
          <w:szCs w:val="26"/>
        </w:rPr>
        <w:t>Your guide to understanding and using IELTS scores</w:t>
      </w:r>
      <w:r w:rsidRPr="0012747A">
        <w:rPr>
          <w:sz w:val="26"/>
          <w:szCs w:val="26"/>
        </w:rPr>
        <w:t xml:space="preserve">. IELTS. </w:t>
      </w:r>
    </w:p>
    <w:p w:rsidR="0012747A" w:rsidRPr="0012747A" w:rsidRDefault="0012747A" w:rsidP="0012747A">
      <w:pPr>
        <w:pStyle w:val="NormalWeb"/>
        <w:spacing w:before="0" w:beforeAutospacing="0" w:after="0" w:afterAutospacing="0" w:line="480" w:lineRule="auto"/>
        <w:ind w:firstLine="567"/>
        <w:rPr>
          <w:sz w:val="26"/>
          <w:szCs w:val="26"/>
        </w:rPr>
      </w:pPr>
      <w:r w:rsidRPr="0012747A">
        <w:rPr>
          <w:sz w:val="26"/>
          <w:szCs w:val="26"/>
        </w:rPr>
        <w:t xml:space="preserve">IELTS. (n.d.). </w:t>
      </w:r>
      <w:r w:rsidRPr="0012747A">
        <w:rPr>
          <w:rStyle w:val="Emphasis"/>
          <w:rFonts w:eastAsiaTheme="majorEastAsia"/>
          <w:sz w:val="26"/>
          <w:szCs w:val="26"/>
        </w:rPr>
        <w:t>IELTS and the CEFR</w:t>
      </w:r>
      <w:r w:rsidRPr="0012747A">
        <w:rPr>
          <w:sz w:val="26"/>
          <w:szCs w:val="26"/>
        </w:rPr>
        <w:t xml:space="preserve">. IELTS. </w:t>
      </w:r>
    </w:p>
    <w:p w:rsidR="0012747A" w:rsidRPr="0012747A" w:rsidRDefault="0012747A" w:rsidP="0012747A">
      <w:pPr>
        <w:pStyle w:val="NormalWeb"/>
        <w:spacing w:before="0" w:beforeAutospacing="0" w:after="0" w:afterAutospacing="0" w:line="480" w:lineRule="auto"/>
        <w:ind w:firstLine="567"/>
        <w:rPr>
          <w:sz w:val="26"/>
          <w:szCs w:val="26"/>
        </w:rPr>
      </w:pPr>
      <w:r w:rsidRPr="0012747A">
        <w:rPr>
          <w:sz w:val="26"/>
          <w:szCs w:val="26"/>
        </w:rPr>
        <w:t xml:space="preserve">IELTS. (n.d.). </w:t>
      </w:r>
      <w:r w:rsidRPr="0012747A">
        <w:rPr>
          <w:rStyle w:val="Emphasis"/>
          <w:rFonts w:eastAsiaTheme="majorEastAsia"/>
          <w:sz w:val="26"/>
          <w:szCs w:val="26"/>
        </w:rPr>
        <w:t>IELTS tests for UK Visas and Immigration</w:t>
      </w:r>
      <w:r w:rsidRPr="0012747A">
        <w:rPr>
          <w:sz w:val="26"/>
          <w:szCs w:val="26"/>
        </w:rPr>
        <w:t xml:space="preserve">. IELTS. </w:t>
      </w:r>
    </w:p>
    <w:p w:rsidR="0012747A" w:rsidRPr="0012747A" w:rsidRDefault="0012747A" w:rsidP="0012747A">
      <w:pPr>
        <w:pStyle w:val="NormalWeb"/>
        <w:spacing w:before="0" w:beforeAutospacing="0" w:after="0" w:afterAutospacing="0" w:line="480" w:lineRule="auto"/>
        <w:ind w:firstLine="567"/>
        <w:rPr>
          <w:sz w:val="26"/>
          <w:szCs w:val="26"/>
        </w:rPr>
      </w:pPr>
      <w:r w:rsidRPr="0012747A">
        <w:rPr>
          <w:sz w:val="26"/>
          <w:szCs w:val="26"/>
        </w:rPr>
        <w:t xml:space="preserve">NOCN. (2024, November 6). </w:t>
      </w:r>
      <w:r w:rsidRPr="0012747A">
        <w:rPr>
          <w:rStyle w:val="Emphasis"/>
          <w:rFonts w:eastAsiaTheme="majorEastAsia"/>
          <w:sz w:val="26"/>
          <w:szCs w:val="26"/>
        </w:rPr>
        <w:t>Qualifications in ESOL International - Levels</w:t>
      </w:r>
      <w:r w:rsidRPr="0012747A">
        <w:rPr>
          <w:sz w:val="26"/>
          <w:szCs w:val="26"/>
        </w:rPr>
        <w:t xml:space="preserve">. NOCN. </w:t>
      </w:r>
    </w:p>
    <w:p w:rsidR="00576781" w:rsidRPr="0012747A" w:rsidRDefault="00576781" w:rsidP="0012747A">
      <w:pPr>
        <w:spacing w:line="480" w:lineRule="auto"/>
        <w:ind w:firstLine="851"/>
        <w:rPr>
          <w:rFonts w:ascii="Times New Roman" w:hAnsi="Times New Roman" w:cs="Times New Roman"/>
          <w:sz w:val="26"/>
          <w:szCs w:val="26"/>
        </w:rPr>
      </w:pPr>
    </w:p>
    <w:p w:rsidR="00935B90" w:rsidRPr="0012747A" w:rsidRDefault="00935B90" w:rsidP="0012747A">
      <w:pPr>
        <w:spacing w:line="480" w:lineRule="auto"/>
        <w:rPr>
          <w:rFonts w:ascii="Times New Roman" w:hAnsi="Times New Roman" w:cs="Times New Roman"/>
          <w:sz w:val="26"/>
          <w:szCs w:val="26"/>
        </w:rPr>
      </w:pPr>
      <w:r w:rsidRPr="0012747A">
        <w:rPr>
          <w:rFonts w:ascii="Times New Roman" w:hAnsi="Times New Roman" w:cs="Times New Roman"/>
          <w:sz w:val="26"/>
          <w:szCs w:val="26"/>
        </w:rPr>
        <w:br w:type="page"/>
      </w:r>
    </w:p>
    <w:p w:rsidR="003F0C46" w:rsidRDefault="003F0C46" w:rsidP="003F0C46">
      <w:pPr>
        <w:spacing w:line="480" w:lineRule="auto"/>
        <w:jc w:val="center"/>
        <w:rPr>
          <w:rFonts w:ascii="Times New Roman" w:hAnsi="Times New Roman" w:cs="Times New Roman"/>
          <w:b/>
          <w:bCs/>
          <w:sz w:val="26"/>
          <w:szCs w:val="26"/>
        </w:rPr>
      </w:pPr>
      <w:r w:rsidRPr="003F0C46">
        <w:rPr>
          <w:rFonts w:ascii="Times New Roman" w:hAnsi="Times New Roman" w:cs="Times New Roman"/>
          <w:b/>
          <w:bCs/>
          <w:sz w:val="26"/>
          <w:szCs w:val="26"/>
        </w:rPr>
        <w:lastRenderedPageBreak/>
        <w:t xml:space="preserve">Alignment of NOCN ESOL International </w:t>
      </w:r>
      <w:r>
        <w:rPr>
          <w:rFonts w:ascii="Times New Roman" w:hAnsi="Times New Roman" w:cs="Times New Roman"/>
          <w:b/>
          <w:bCs/>
          <w:sz w:val="26"/>
          <w:szCs w:val="26"/>
        </w:rPr>
        <w:t>l</w:t>
      </w:r>
      <w:r w:rsidRPr="003F0C46">
        <w:rPr>
          <w:rFonts w:ascii="Times New Roman" w:hAnsi="Times New Roman" w:cs="Times New Roman"/>
          <w:b/>
          <w:bCs/>
          <w:sz w:val="26"/>
          <w:szCs w:val="26"/>
        </w:rPr>
        <w:t xml:space="preserve">evels </w:t>
      </w:r>
    </w:p>
    <w:p w:rsidR="003F0C46" w:rsidRPr="003F0C46" w:rsidRDefault="003F0C46" w:rsidP="003F0C46">
      <w:pPr>
        <w:spacing w:line="480" w:lineRule="auto"/>
        <w:jc w:val="center"/>
        <w:rPr>
          <w:rFonts w:ascii="Times New Roman" w:hAnsi="Times New Roman" w:cs="Times New Roman"/>
          <w:b/>
          <w:bCs/>
          <w:sz w:val="26"/>
          <w:szCs w:val="26"/>
        </w:rPr>
      </w:pPr>
      <w:r w:rsidRPr="003F0C46">
        <w:rPr>
          <w:rFonts w:ascii="Times New Roman" w:hAnsi="Times New Roman" w:cs="Times New Roman"/>
          <w:b/>
          <w:bCs/>
          <w:sz w:val="26"/>
          <w:szCs w:val="26"/>
        </w:rPr>
        <w:t xml:space="preserve">with IELTS </w:t>
      </w:r>
      <w:r>
        <w:rPr>
          <w:rFonts w:ascii="Times New Roman" w:hAnsi="Times New Roman" w:cs="Times New Roman"/>
          <w:b/>
          <w:bCs/>
          <w:sz w:val="26"/>
          <w:szCs w:val="26"/>
        </w:rPr>
        <w:t>b</w:t>
      </w:r>
      <w:r w:rsidRPr="003F0C46">
        <w:rPr>
          <w:rFonts w:ascii="Times New Roman" w:hAnsi="Times New Roman" w:cs="Times New Roman"/>
          <w:b/>
          <w:bCs/>
          <w:sz w:val="26"/>
          <w:szCs w:val="26"/>
        </w:rPr>
        <w:t>ands through the CEFR</w:t>
      </w:r>
    </w:p>
    <w:p w:rsidR="003F0C46" w:rsidRPr="003F0C46" w:rsidRDefault="003F0C46" w:rsidP="003F0C46">
      <w:pPr>
        <w:spacing w:line="480" w:lineRule="auto"/>
        <w:rPr>
          <w:rFonts w:ascii="Times New Roman" w:hAnsi="Times New Roman" w:cs="Times New Roman"/>
          <w:b/>
          <w:bCs/>
          <w:sz w:val="26"/>
          <w:szCs w:val="26"/>
        </w:rPr>
      </w:pPr>
      <w:r w:rsidRPr="003F0C46">
        <w:rPr>
          <w:rFonts w:ascii="Times New Roman" w:hAnsi="Times New Roman" w:cs="Times New Roman"/>
          <w:b/>
          <w:bCs/>
          <w:sz w:val="26"/>
          <w:szCs w:val="26"/>
        </w:rPr>
        <w:t>Abstract</w:t>
      </w:r>
    </w:p>
    <w:p w:rsidR="003F0C46" w:rsidRPr="003F0C46" w:rsidRDefault="003F0C46" w:rsidP="003F0C46">
      <w:pPr>
        <w:spacing w:line="480" w:lineRule="auto"/>
        <w:ind w:firstLine="567"/>
        <w:rPr>
          <w:rFonts w:ascii="Times New Roman" w:hAnsi="Times New Roman" w:cs="Times New Roman"/>
          <w:sz w:val="26"/>
          <w:szCs w:val="26"/>
        </w:rPr>
      </w:pPr>
      <w:r w:rsidRPr="003F0C46">
        <w:rPr>
          <w:rFonts w:ascii="Times New Roman" w:hAnsi="Times New Roman" w:cs="Times New Roman"/>
          <w:sz w:val="26"/>
          <w:szCs w:val="26"/>
        </w:rPr>
        <w:t>This report examines how NOCN ESOL International levels at B1, B2 and C1 relate to IELTS overall band scores when both systems are interpreted through the Common European Framework of Reference for Languages (CEFR). Using an internal matched dataset of 307 candidate records, the analysis found that 304 cases (99.0%) fell into the same CEFR band across NOCN and IELTS. Mean IELTS overall scores rose systematically across the three NOCN levels: 4.97 at B1, 6.11 at B2 and 7.74 at C1. The findings support a cautious but clear conclusion: NOCN B1 aligns strongly with IELTS 4.0–5.0, NOCN B2 aligns strongly with IELTS 5.5–6.5, and NOCN C1 aligns strongly with IELTS 7.0–8.0. In line with official IELTS guidance, however, this should be presented as an alignment through the CEFR rather than as a one-to-one score conversion.</w:t>
      </w:r>
    </w:p>
    <w:p w:rsidR="003F0C46" w:rsidRDefault="003F0C46" w:rsidP="003F0C46">
      <w:pPr>
        <w:spacing w:line="480" w:lineRule="auto"/>
        <w:rPr>
          <w:rFonts w:ascii="Times New Roman" w:hAnsi="Times New Roman" w:cs="Times New Roman"/>
          <w:sz w:val="26"/>
          <w:szCs w:val="26"/>
        </w:rPr>
      </w:pPr>
    </w:p>
    <w:p w:rsidR="003F0C46" w:rsidRPr="003F0C46" w:rsidRDefault="003F0C46" w:rsidP="003F0C46">
      <w:pPr>
        <w:spacing w:line="480" w:lineRule="auto"/>
        <w:rPr>
          <w:rFonts w:ascii="Times New Roman" w:hAnsi="Times New Roman" w:cs="Times New Roman"/>
          <w:b/>
          <w:bCs/>
          <w:sz w:val="26"/>
          <w:szCs w:val="26"/>
        </w:rPr>
      </w:pPr>
      <w:r w:rsidRPr="003F0C46">
        <w:rPr>
          <w:rFonts w:ascii="Times New Roman" w:hAnsi="Times New Roman" w:cs="Times New Roman"/>
          <w:b/>
          <w:bCs/>
          <w:sz w:val="26"/>
          <w:szCs w:val="26"/>
        </w:rPr>
        <w:t>1. Purpose and context</w:t>
      </w:r>
    </w:p>
    <w:p w:rsidR="003F0C46" w:rsidRPr="003F0C46" w:rsidRDefault="003F0C46" w:rsidP="003F0C46">
      <w:pPr>
        <w:spacing w:line="480" w:lineRule="auto"/>
        <w:ind w:firstLine="567"/>
        <w:rPr>
          <w:rFonts w:ascii="Times New Roman" w:hAnsi="Times New Roman" w:cs="Times New Roman"/>
          <w:sz w:val="26"/>
          <w:szCs w:val="26"/>
        </w:rPr>
      </w:pPr>
      <w:r w:rsidRPr="003F0C46">
        <w:rPr>
          <w:rFonts w:ascii="Times New Roman" w:hAnsi="Times New Roman" w:cs="Times New Roman"/>
          <w:sz w:val="26"/>
          <w:szCs w:val="26"/>
        </w:rPr>
        <w:t>This briefing has been prepared for web publication to explain how the levels of NOCN ESOL International can be interpreted alongside IELTS bands in a way that is transparent, evidence-based and methodologically cautious.</w:t>
      </w:r>
    </w:p>
    <w:p w:rsidR="003F0C46" w:rsidRPr="003F0C46" w:rsidRDefault="003F0C46" w:rsidP="003F0C46">
      <w:pPr>
        <w:spacing w:line="480" w:lineRule="auto"/>
        <w:ind w:firstLine="567"/>
        <w:rPr>
          <w:rFonts w:ascii="Times New Roman" w:hAnsi="Times New Roman" w:cs="Times New Roman"/>
          <w:sz w:val="26"/>
          <w:szCs w:val="26"/>
        </w:rPr>
      </w:pPr>
      <w:r w:rsidRPr="003F0C46">
        <w:rPr>
          <w:rFonts w:ascii="Times New Roman" w:hAnsi="Times New Roman" w:cs="Times New Roman"/>
          <w:sz w:val="26"/>
          <w:szCs w:val="26"/>
        </w:rPr>
        <w:t xml:space="preserve">NOCN’s official ESOL International specification states that the qualification suite offers a comprehensive test of Listening, Reading, Writing and Speaking, and that the examinations are built around real-life scenarios. The same specification identifies </w:t>
      </w:r>
      <w:r w:rsidRPr="003F0C46">
        <w:rPr>
          <w:rFonts w:ascii="Times New Roman" w:hAnsi="Times New Roman" w:cs="Times New Roman"/>
          <w:sz w:val="26"/>
          <w:szCs w:val="26"/>
        </w:rPr>
        <w:lastRenderedPageBreak/>
        <w:t>Intermediate as CEFR B1, Independent User as CEFR B2, and Advanced as CEFR C1 (NOCN, 2024).</w:t>
      </w:r>
    </w:p>
    <w:p w:rsidR="003F0C46" w:rsidRPr="003F0C46" w:rsidRDefault="003F0C46" w:rsidP="003F0C46">
      <w:pPr>
        <w:spacing w:line="480" w:lineRule="auto"/>
        <w:ind w:firstLine="567"/>
        <w:rPr>
          <w:rFonts w:ascii="Times New Roman" w:hAnsi="Times New Roman" w:cs="Times New Roman"/>
          <w:sz w:val="26"/>
          <w:szCs w:val="26"/>
        </w:rPr>
      </w:pPr>
      <w:r w:rsidRPr="003F0C46">
        <w:rPr>
          <w:rFonts w:ascii="Times New Roman" w:hAnsi="Times New Roman" w:cs="Times New Roman"/>
          <w:sz w:val="26"/>
          <w:szCs w:val="26"/>
        </w:rPr>
        <w:t>IELTS, meanwhile, publishes an official comparison chart showing how IELTS overall band scores can be aligned to CEFR levels. At the same time, IELTS explicitly notes that IELTS and the CEFR were designed for different purposes, and that one-to-one comparisons are therefore not possible (IELTS, 2025).</w:t>
      </w:r>
    </w:p>
    <w:p w:rsidR="003F0C46" w:rsidRPr="003F0C46" w:rsidRDefault="003F0C46" w:rsidP="003F0C46">
      <w:pPr>
        <w:spacing w:line="480" w:lineRule="auto"/>
        <w:ind w:firstLine="567"/>
        <w:rPr>
          <w:rFonts w:ascii="Times New Roman" w:hAnsi="Times New Roman" w:cs="Times New Roman"/>
          <w:sz w:val="26"/>
          <w:szCs w:val="26"/>
        </w:rPr>
      </w:pPr>
      <w:r w:rsidRPr="003F0C46">
        <w:rPr>
          <w:rFonts w:ascii="Times New Roman" w:hAnsi="Times New Roman" w:cs="Times New Roman"/>
          <w:sz w:val="26"/>
          <w:szCs w:val="26"/>
        </w:rPr>
        <w:t>For that reason, the present report does not claim direct score equivalence between NOCN and IELTS. Instead, it examines whether NOCN levels and IELTS results converge at the level of CEFR interpretation.</w:t>
      </w:r>
    </w:p>
    <w:p w:rsidR="003F0C46" w:rsidRDefault="003F0C46" w:rsidP="003F0C46">
      <w:pPr>
        <w:spacing w:line="480" w:lineRule="auto"/>
        <w:rPr>
          <w:rFonts w:ascii="Times New Roman" w:hAnsi="Times New Roman" w:cs="Times New Roman"/>
          <w:sz w:val="26"/>
          <w:szCs w:val="26"/>
        </w:rPr>
      </w:pPr>
    </w:p>
    <w:p w:rsidR="003F0C46" w:rsidRPr="003F0C46" w:rsidRDefault="003F0C46" w:rsidP="003F0C46">
      <w:pPr>
        <w:spacing w:line="480" w:lineRule="auto"/>
        <w:rPr>
          <w:rFonts w:ascii="Times New Roman" w:hAnsi="Times New Roman" w:cs="Times New Roman"/>
          <w:b/>
          <w:bCs/>
          <w:sz w:val="26"/>
          <w:szCs w:val="26"/>
        </w:rPr>
      </w:pPr>
      <w:r w:rsidRPr="003F0C46">
        <w:rPr>
          <w:rFonts w:ascii="Times New Roman" w:hAnsi="Times New Roman" w:cs="Times New Roman"/>
          <w:b/>
          <w:bCs/>
          <w:sz w:val="26"/>
          <w:szCs w:val="26"/>
        </w:rPr>
        <w:t>2. Conceptual basis for relating NOCN and IELTS</w:t>
      </w:r>
    </w:p>
    <w:p w:rsidR="003F0C46" w:rsidRPr="003F0C46" w:rsidRDefault="003F0C46" w:rsidP="003F0C46">
      <w:pPr>
        <w:spacing w:line="480" w:lineRule="auto"/>
        <w:ind w:firstLine="567"/>
        <w:rPr>
          <w:rFonts w:ascii="Times New Roman" w:hAnsi="Times New Roman" w:cs="Times New Roman"/>
          <w:sz w:val="26"/>
          <w:szCs w:val="26"/>
        </w:rPr>
      </w:pPr>
      <w:r w:rsidRPr="003F0C46">
        <w:rPr>
          <w:rFonts w:ascii="Times New Roman" w:hAnsi="Times New Roman" w:cs="Times New Roman"/>
          <w:sz w:val="26"/>
          <w:szCs w:val="26"/>
        </w:rPr>
        <w:t>The CEFR was designed to promote cooperation across educational systems, provide a sound basis for the mutual recognition of language qualifications, and offer a shared descriptive framework for interpreting language ability (Council of Europe, 2020). The CEFR Companion Volume further explains that the common reference levels A1 to C2 are intended to provide a common metalanguage for the language education profession and to support the recognition of courses and examinations.</w:t>
      </w:r>
    </w:p>
    <w:p w:rsidR="003F0C46" w:rsidRPr="003F0C46" w:rsidRDefault="003F0C46" w:rsidP="003F0C46">
      <w:pPr>
        <w:spacing w:line="480" w:lineRule="auto"/>
        <w:ind w:firstLine="567"/>
        <w:rPr>
          <w:rFonts w:ascii="Times New Roman" w:hAnsi="Times New Roman" w:cs="Times New Roman"/>
          <w:sz w:val="26"/>
          <w:szCs w:val="26"/>
        </w:rPr>
      </w:pPr>
      <w:r w:rsidRPr="003F0C46">
        <w:rPr>
          <w:rFonts w:ascii="Times New Roman" w:hAnsi="Times New Roman" w:cs="Times New Roman"/>
          <w:sz w:val="26"/>
          <w:szCs w:val="26"/>
        </w:rPr>
        <w:t>The Council of Europe’s guidance on relating examinations to the CEFR makes clear that linking a test to CEFR levels involves establishing a correspondence between examination results and CEFR proficiency bands, whether directly or indirectly, and that such linkage requires explicit standard-setting and validation procedures (Council of Europe, 2004).</w:t>
      </w:r>
    </w:p>
    <w:p w:rsidR="003F0C46" w:rsidRPr="003F0C46" w:rsidRDefault="003F0C46" w:rsidP="003F0C46">
      <w:pPr>
        <w:spacing w:line="480" w:lineRule="auto"/>
        <w:ind w:firstLine="567"/>
        <w:rPr>
          <w:rFonts w:ascii="Times New Roman" w:hAnsi="Times New Roman" w:cs="Times New Roman"/>
          <w:sz w:val="26"/>
          <w:szCs w:val="26"/>
        </w:rPr>
      </w:pPr>
      <w:r w:rsidRPr="003F0C46">
        <w:rPr>
          <w:rFonts w:ascii="Times New Roman" w:hAnsi="Times New Roman" w:cs="Times New Roman"/>
          <w:sz w:val="26"/>
          <w:szCs w:val="26"/>
        </w:rPr>
        <w:lastRenderedPageBreak/>
        <w:t>In this case, the logic of comparison is indirect but well-established. NOCN declares its examination levels against the CEFR, and IELTS publishes an official CEFR alignment chart for band scores. This makes the CEFR the appropriate common reference point for a cross-test interpretation of results.</w:t>
      </w:r>
    </w:p>
    <w:p w:rsidR="003F0C46" w:rsidRDefault="003F0C46" w:rsidP="003F0C46">
      <w:pPr>
        <w:spacing w:line="480" w:lineRule="auto"/>
        <w:rPr>
          <w:rFonts w:ascii="Times New Roman" w:hAnsi="Times New Roman" w:cs="Times New Roman"/>
          <w:sz w:val="26"/>
          <w:szCs w:val="26"/>
        </w:rPr>
      </w:pPr>
    </w:p>
    <w:p w:rsidR="003F0C46" w:rsidRPr="003F0C46" w:rsidRDefault="003F0C46" w:rsidP="003F0C46">
      <w:pPr>
        <w:spacing w:line="480" w:lineRule="auto"/>
        <w:rPr>
          <w:rFonts w:ascii="Times New Roman" w:hAnsi="Times New Roman" w:cs="Times New Roman"/>
          <w:b/>
          <w:bCs/>
          <w:sz w:val="26"/>
          <w:szCs w:val="26"/>
        </w:rPr>
      </w:pPr>
      <w:r w:rsidRPr="003F0C46">
        <w:rPr>
          <w:rFonts w:ascii="Times New Roman" w:hAnsi="Times New Roman" w:cs="Times New Roman"/>
          <w:b/>
          <w:bCs/>
          <w:sz w:val="26"/>
          <w:szCs w:val="26"/>
        </w:rPr>
        <w:t>3. Data and method</w:t>
      </w:r>
    </w:p>
    <w:p w:rsidR="003F0C46" w:rsidRPr="003F0C46" w:rsidRDefault="003F0C46" w:rsidP="003F0C46">
      <w:pPr>
        <w:spacing w:line="480" w:lineRule="auto"/>
        <w:ind w:firstLine="567"/>
        <w:rPr>
          <w:rFonts w:ascii="Times New Roman" w:hAnsi="Times New Roman" w:cs="Times New Roman"/>
          <w:sz w:val="26"/>
          <w:szCs w:val="26"/>
        </w:rPr>
      </w:pPr>
      <w:r w:rsidRPr="003F0C46">
        <w:rPr>
          <w:rFonts w:ascii="Times New Roman" w:hAnsi="Times New Roman" w:cs="Times New Roman"/>
          <w:sz w:val="26"/>
          <w:szCs w:val="26"/>
        </w:rPr>
        <w:t>The analysis used an internal matched dataset of 307 candidate records drawn from four countries: Greece, Russia, the United Arab Emirates and India. The dataset contained 114 candidates at NOCN B1, 108 at NOCN B2, and 85 at NOCN C1.</w:t>
      </w:r>
    </w:p>
    <w:p w:rsidR="003F0C46" w:rsidRPr="003F0C46" w:rsidRDefault="003F0C46" w:rsidP="003F0C46">
      <w:pPr>
        <w:spacing w:line="480" w:lineRule="auto"/>
        <w:ind w:firstLine="567"/>
        <w:rPr>
          <w:rFonts w:ascii="Times New Roman" w:hAnsi="Times New Roman" w:cs="Times New Roman"/>
          <w:sz w:val="26"/>
          <w:szCs w:val="26"/>
        </w:rPr>
      </w:pPr>
      <w:r w:rsidRPr="003F0C46">
        <w:rPr>
          <w:rFonts w:ascii="Times New Roman" w:hAnsi="Times New Roman" w:cs="Times New Roman"/>
          <w:sz w:val="26"/>
          <w:szCs w:val="26"/>
        </w:rPr>
        <w:t>IELTS overall band scores were calculated from the four skill scores using half-band rounding. Each case was then assigned a CEFR band from IELTS overall using the operational ranges employed in the dataset: B1 for IELTS 4.0–5.0, B2 for IELTS 5.5–6.5, and C1 for IELTS 7.0–8.0. These ranges are consistent with the official IELTS-to-CEFR alignment chart published in IELTS guidance materials (IELTS, 2025).</w:t>
      </w:r>
    </w:p>
    <w:p w:rsidR="003F0C46" w:rsidRPr="003F0C46" w:rsidRDefault="003F0C46" w:rsidP="003F0C46">
      <w:pPr>
        <w:spacing w:line="480" w:lineRule="auto"/>
        <w:ind w:firstLine="567"/>
        <w:rPr>
          <w:rFonts w:ascii="Times New Roman" w:hAnsi="Times New Roman" w:cs="Times New Roman"/>
          <w:sz w:val="26"/>
          <w:szCs w:val="26"/>
        </w:rPr>
      </w:pPr>
      <w:r w:rsidRPr="003F0C46">
        <w:rPr>
          <w:rFonts w:ascii="Times New Roman" w:hAnsi="Times New Roman" w:cs="Times New Roman"/>
          <w:sz w:val="26"/>
          <w:szCs w:val="26"/>
        </w:rPr>
        <w:t>Three forms of evidence were examined: descriptive statistics by NOCN level, the percentage of cases falling into the expected IELTS band range, and score relationships between NOCN and IELTS at overall and skill level.</w:t>
      </w:r>
    </w:p>
    <w:p w:rsidR="003F0C46" w:rsidRDefault="003F0C46" w:rsidP="003F0C46">
      <w:pPr>
        <w:spacing w:line="480" w:lineRule="auto"/>
        <w:rPr>
          <w:rFonts w:ascii="Times New Roman" w:hAnsi="Times New Roman" w:cs="Times New Roman"/>
          <w:sz w:val="26"/>
          <w:szCs w:val="26"/>
        </w:rPr>
      </w:pPr>
    </w:p>
    <w:p w:rsidR="003F0C46" w:rsidRDefault="003F0C46" w:rsidP="003F0C46">
      <w:pPr>
        <w:spacing w:line="480" w:lineRule="auto"/>
        <w:rPr>
          <w:rFonts w:ascii="Times New Roman" w:hAnsi="Times New Roman" w:cs="Times New Roman"/>
          <w:b/>
          <w:bCs/>
          <w:sz w:val="26"/>
          <w:szCs w:val="26"/>
        </w:rPr>
      </w:pPr>
      <w:r w:rsidRPr="003F0C46">
        <w:rPr>
          <w:rFonts w:ascii="Times New Roman" w:hAnsi="Times New Roman" w:cs="Times New Roman"/>
          <w:b/>
          <w:bCs/>
          <w:sz w:val="26"/>
          <w:szCs w:val="26"/>
        </w:rPr>
        <w:t>4. Results</w:t>
      </w:r>
    </w:p>
    <w:p w:rsidR="003F0C46" w:rsidRDefault="003F0C46" w:rsidP="003F0C46">
      <w:pPr>
        <w:spacing w:line="480" w:lineRule="auto"/>
        <w:jc w:val="center"/>
        <w:rPr>
          <w:rFonts w:ascii="Times New Roman" w:hAnsi="Times New Roman" w:cs="Times New Roman"/>
          <w:i/>
          <w:iCs/>
          <w:sz w:val="26"/>
          <w:szCs w:val="26"/>
        </w:rPr>
      </w:pPr>
    </w:p>
    <w:p w:rsidR="003F0C46" w:rsidRDefault="003F0C46" w:rsidP="003F0C46">
      <w:pPr>
        <w:spacing w:line="480" w:lineRule="auto"/>
        <w:jc w:val="center"/>
        <w:rPr>
          <w:rFonts w:ascii="Times New Roman" w:hAnsi="Times New Roman" w:cs="Times New Roman"/>
          <w:i/>
          <w:iCs/>
          <w:sz w:val="26"/>
          <w:szCs w:val="26"/>
        </w:rPr>
      </w:pPr>
    </w:p>
    <w:p w:rsidR="003F0C46" w:rsidRDefault="003F0C46" w:rsidP="003F0C46">
      <w:pPr>
        <w:spacing w:line="480" w:lineRule="auto"/>
        <w:jc w:val="center"/>
        <w:rPr>
          <w:rFonts w:ascii="Times New Roman" w:hAnsi="Times New Roman" w:cs="Times New Roman"/>
          <w:i/>
          <w:iCs/>
          <w:sz w:val="26"/>
          <w:szCs w:val="26"/>
        </w:rPr>
      </w:pPr>
    </w:p>
    <w:p w:rsidR="003F0C46" w:rsidRPr="003F0C46" w:rsidRDefault="003F0C46" w:rsidP="003F0C46">
      <w:pPr>
        <w:spacing w:line="480" w:lineRule="auto"/>
        <w:jc w:val="center"/>
        <w:rPr>
          <w:rFonts w:ascii="Times New Roman" w:hAnsi="Times New Roman" w:cs="Times New Roman"/>
          <w:i/>
          <w:iCs/>
          <w:sz w:val="26"/>
          <w:szCs w:val="26"/>
        </w:rPr>
      </w:pPr>
      <w:r w:rsidRPr="003F0C46">
        <w:rPr>
          <w:rFonts w:ascii="Times New Roman" w:hAnsi="Times New Roman" w:cs="Times New Roman"/>
          <w:i/>
          <w:iCs/>
          <w:sz w:val="26"/>
          <w:szCs w:val="26"/>
        </w:rPr>
        <w:lastRenderedPageBreak/>
        <w:t>Table 1. Summary of matched NOCN–IELTS results by level</w:t>
      </w:r>
    </w:p>
    <w:tbl>
      <w:tblPr>
        <w:tblStyle w:val="TableGrid"/>
        <w:tblW w:w="0" w:type="auto"/>
        <w:jc w:val="center"/>
        <w:tblLook w:val="04A0" w:firstRow="1" w:lastRow="0" w:firstColumn="1" w:lastColumn="0" w:noHBand="0" w:noVBand="1"/>
      </w:tblPr>
      <w:tblGrid>
        <w:gridCol w:w="1159"/>
        <w:gridCol w:w="1151"/>
        <w:gridCol w:w="606"/>
        <w:gridCol w:w="1460"/>
        <w:gridCol w:w="1762"/>
        <w:gridCol w:w="1666"/>
        <w:gridCol w:w="1546"/>
      </w:tblGrid>
      <w:tr w:rsidR="003F0C46" w:rsidRPr="003F0C46" w:rsidTr="00C64505">
        <w:trPr>
          <w:jc w:val="center"/>
        </w:trPr>
        <w:tc>
          <w:tcPr>
            <w:tcW w:w="0" w:type="auto"/>
            <w:shd w:val="clear" w:color="auto" w:fill="D9E2F3"/>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b/>
                <w:color w:val="000000" w:themeColor="text1"/>
                <w:sz w:val="26"/>
                <w:szCs w:val="26"/>
              </w:rPr>
              <w:t>NOCN level</w:t>
            </w:r>
          </w:p>
        </w:tc>
        <w:tc>
          <w:tcPr>
            <w:tcW w:w="0" w:type="auto"/>
            <w:shd w:val="clear" w:color="auto" w:fill="D9E2F3"/>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b/>
                <w:color w:val="000000" w:themeColor="text1"/>
                <w:sz w:val="26"/>
                <w:szCs w:val="26"/>
              </w:rPr>
              <w:t>CEFR target</w:t>
            </w:r>
          </w:p>
        </w:tc>
        <w:tc>
          <w:tcPr>
            <w:tcW w:w="0" w:type="auto"/>
            <w:shd w:val="clear" w:color="auto" w:fill="D9E2F3"/>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b/>
                <w:color w:val="000000" w:themeColor="text1"/>
                <w:sz w:val="26"/>
                <w:szCs w:val="26"/>
              </w:rPr>
              <w:t>n</w:t>
            </w:r>
          </w:p>
        </w:tc>
        <w:tc>
          <w:tcPr>
            <w:tcW w:w="0" w:type="auto"/>
            <w:shd w:val="clear" w:color="auto" w:fill="D9E2F3"/>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b/>
                <w:color w:val="000000" w:themeColor="text1"/>
                <w:sz w:val="26"/>
                <w:szCs w:val="26"/>
              </w:rPr>
              <w:t>Mean IELTS overall</w:t>
            </w:r>
          </w:p>
        </w:tc>
        <w:tc>
          <w:tcPr>
            <w:tcW w:w="0" w:type="auto"/>
            <w:shd w:val="clear" w:color="auto" w:fill="D9E2F3"/>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b/>
                <w:color w:val="000000" w:themeColor="text1"/>
                <w:sz w:val="26"/>
                <w:szCs w:val="26"/>
              </w:rPr>
              <w:t>Observed IELTS range</w:t>
            </w:r>
          </w:p>
        </w:tc>
        <w:tc>
          <w:tcPr>
            <w:tcW w:w="0" w:type="auto"/>
            <w:shd w:val="clear" w:color="auto" w:fill="D9E2F3"/>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b/>
                <w:color w:val="000000" w:themeColor="text1"/>
                <w:sz w:val="26"/>
                <w:szCs w:val="26"/>
              </w:rPr>
              <w:t>Within expected range</w:t>
            </w:r>
          </w:p>
        </w:tc>
        <w:tc>
          <w:tcPr>
            <w:tcW w:w="0" w:type="auto"/>
            <w:shd w:val="clear" w:color="auto" w:fill="D9E2F3"/>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b/>
                <w:color w:val="000000" w:themeColor="text1"/>
                <w:sz w:val="26"/>
                <w:szCs w:val="26"/>
              </w:rPr>
              <w:t>Alignment rate</w:t>
            </w:r>
          </w:p>
        </w:tc>
      </w:tr>
      <w:tr w:rsidR="003F0C46" w:rsidRPr="003F0C46" w:rsidTr="00C64505">
        <w:trPr>
          <w:jc w:val="center"/>
        </w:trPr>
        <w:tc>
          <w:tcPr>
            <w:tcW w:w="0" w:type="auto"/>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B1</w:t>
            </w:r>
          </w:p>
        </w:tc>
        <w:tc>
          <w:tcPr>
            <w:tcW w:w="0" w:type="auto"/>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B1</w:t>
            </w:r>
          </w:p>
        </w:tc>
        <w:tc>
          <w:tcPr>
            <w:tcW w:w="0" w:type="auto"/>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114</w:t>
            </w:r>
          </w:p>
        </w:tc>
        <w:tc>
          <w:tcPr>
            <w:tcW w:w="0" w:type="auto"/>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4.97</w:t>
            </w:r>
          </w:p>
        </w:tc>
        <w:tc>
          <w:tcPr>
            <w:tcW w:w="0" w:type="auto"/>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4.0</w:t>
            </w:r>
            <w:r>
              <w:rPr>
                <w:rFonts w:ascii="Times New Roman" w:hAnsi="Times New Roman" w:cs="Times New Roman"/>
                <w:color w:val="000000" w:themeColor="text1"/>
                <w:sz w:val="26"/>
                <w:szCs w:val="26"/>
              </w:rPr>
              <w:t>-</w:t>
            </w:r>
            <w:r w:rsidRPr="003F0C46">
              <w:rPr>
                <w:rFonts w:ascii="Times New Roman" w:hAnsi="Times New Roman" w:cs="Times New Roman"/>
                <w:color w:val="000000" w:themeColor="text1"/>
                <w:sz w:val="26"/>
                <w:szCs w:val="26"/>
              </w:rPr>
              <w:t>5.5</w:t>
            </w:r>
          </w:p>
        </w:tc>
        <w:tc>
          <w:tcPr>
            <w:tcW w:w="0" w:type="auto"/>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111/114</w:t>
            </w:r>
          </w:p>
        </w:tc>
        <w:tc>
          <w:tcPr>
            <w:tcW w:w="0" w:type="auto"/>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97.4%</w:t>
            </w:r>
          </w:p>
        </w:tc>
      </w:tr>
      <w:tr w:rsidR="003F0C46" w:rsidRPr="003F0C46" w:rsidTr="00C64505">
        <w:trPr>
          <w:jc w:val="center"/>
        </w:trPr>
        <w:tc>
          <w:tcPr>
            <w:tcW w:w="0" w:type="auto"/>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B2</w:t>
            </w:r>
          </w:p>
        </w:tc>
        <w:tc>
          <w:tcPr>
            <w:tcW w:w="0" w:type="auto"/>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B2</w:t>
            </w:r>
          </w:p>
        </w:tc>
        <w:tc>
          <w:tcPr>
            <w:tcW w:w="0" w:type="auto"/>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108</w:t>
            </w:r>
          </w:p>
        </w:tc>
        <w:tc>
          <w:tcPr>
            <w:tcW w:w="0" w:type="auto"/>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6.11</w:t>
            </w:r>
          </w:p>
        </w:tc>
        <w:tc>
          <w:tcPr>
            <w:tcW w:w="0" w:type="auto"/>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5.5</w:t>
            </w:r>
            <w:r>
              <w:rPr>
                <w:rFonts w:ascii="Times New Roman" w:hAnsi="Times New Roman" w:cs="Times New Roman"/>
                <w:color w:val="000000" w:themeColor="text1"/>
                <w:sz w:val="26"/>
                <w:szCs w:val="26"/>
              </w:rPr>
              <w:t>-</w:t>
            </w:r>
            <w:r w:rsidRPr="003F0C46">
              <w:rPr>
                <w:rFonts w:ascii="Times New Roman" w:hAnsi="Times New Roman" w:cs="Times New Roman"/>
                <w:color w:val="000000" w:themeColor="text1"/>
                <w:sz w:val="26"/>
                <w:szCs w:val="26"/>
              </w:rPr>
              <w:t>6.5</w:t>
            </w:r>
          </w:p>
        </w:tc>
        <w:tc>
          <w:tcPr>
            <w:tcW w:w="0" w:type="auto"/>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108/108</w:t>
            </w:r>
          </w:p>
        </w:tc>
        <w:tc>
          <w:tcPr>
            <w:tcW w:w="0" w:type="auto"/>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100.0%</w:t>
            </w:r>
          </w:p>
        </w:tc>
      </w:tr>
      <w:tr w:rsidR="003F0C46" w:rsidRPr="003F0C46" w:rsidTr="00C64505">
        <w:trPr>
          <w:jc w:val="center"/>
        </w:trPr>
        <w:tc>
          <w:tcPr>
            <w:tcW w:w="0" w:type="auto"/>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C1</w:t>
            </w:r>
          </w:p>
        </w:tc>
        <w:tc>
          <w:tcPr>
            <w:tcW w:w="0" w:type="auto"/>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C1</w:t>
            </w:r>
          </w:p>
        </w:tc>
        <w:tc>
          <w:tcPr>
            <w:tcW w:w="0" w:type="auto"/>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85</w:t>
            </w:r>
          </w:p>
        </w:tc>
        <w:tc>
          <w:tcPr>
            <w:tcW w:w="0" w:type="auto"/>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7.74</w:t>
            </w:r>
          </w:p>
        </w:tc>
        <w:tc>
          <w:tcPr>
            <w:tcW w:w="0" w:type="auto"/>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7.5</w:t>
            </w:r>
            <w:r>
              <w:rPr>
                <w:rFonts w:ascii="Times New Roman" w:hAnsi="Times New Roman" w:cs="Times New Roman"/>
                <w:color w:val="000000" w:themeColor="text1"/>
                <w:sz w:val="26"/>
                <w:szCs w:val="26"/>
              </w:rPr>
              <w:t>-</w:t>
            </w:r>
            <w:r w:rsidRPr="003F0C46">
              <w:rPr>
                <w:rFonts w:ascii="Times New Roman" w:hAnsi="Times New Roman" w:cs="Times New Roman"/>
                <w:color w:val="000000" w:themeColor="text1"/>
                <w:sz w:val="26"/>
                <w:szCs w:val="26"/>
              </w:rPr>
              <w:t>8.0</w:t>
            </w:r>
          </w:p>
        </w:tc>
        <w:tc>
          <w:tcPr>
            <w:tcW w:w="0" w:type="auto"/>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85/85</w:t>
            </w:r>
          </w:p>
        </w:tc>
        <w:tc>
          <w:tcPr>
            <w:tcW w:w="0" w:type="auto"/>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100.0%</w:t>
            </w:r>
          </w:p>
        </w:tc>
      </w:tr>
      <w:tr w:rsidR="003F0C46" w:rsidRPr="003F0C46" w:rsidTr="00C64505">
        <w:trPr>
          <w:jc w:val="center"/>
        </w:trPr>
        <w:tc>
          <w:tcPr>
            <w:tcW w:w="0" w:type="auto"/>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Total</w:t>
            </w:r>
          </w:p>
        </w:tc>
        <w:tc>
          <w:tcPr>
            <w:tcW w:w="0" w:type="auto"/>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w:t>
            </w:r>
          </w:p>
        </w:tc>
        <w:tc>
          <w:tcPr>
            <w:tcW w:w="0" w:type="auto"/>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307</w:t>
            </w:r>
          </w:p>
        </w:tc>
        <w:tc>
          <w:tcPr>
            <w:tcW w:w="0" w:type="auto"/>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w:t>
            </w:r>
          </w:p>
        </w:tc>
        <w:tc>
          <w:tcPr>
            <w:tcW w:w="0" w:type="auto"/>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w:t>
            </w:r>
          </w:p>
        </w:tc>
        <w:tc>
          <w:tcPr>
            <w:tcW w:w="0" w:type="auto"/>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304/307</w:t>
            </w:r>
          </w:p>
        </w:tc>
        <w:tc>
          <w:tcPr>
            <w:tcW w:w="0" w:type="auto"/>
            <w:vAlign w:val="center"/>
          </w:tcPr>
          <w:p w:rsidR="003F0C46" w:rsidRPr="003F0C46" w:rsidRDefault="003F0C46" w:rsidP="00C64505">
            <w:pPr>
              <w:spacing w:line="480" w:lineRule="auto"/>
              <w:jc w:val="center"/>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99.0%</w:t>
            </w:r>
          </w:p>
        </w:tc>
      </w:tr>
    </w:tbl>
    <w:p w:rsidR="003F0C46" w:rsidRPr="003F0C46" w:rsidRDefault="003F0C46" w:rsidP="003F0C46">
      <w:pPr>
        <w:spacing w:line="480" w:lineRule="auto"/>
        <w:rPr>
          <w:rFonts w:ascii="Times New Roman" w:hAnsi="Times New Roman" w:cs="Times New Roman"/>
          <w:b/>
          <w:bCs/>
          <w:sz w:val="26"/>
          <w:szCs w:val="26"/>
        </w:rPr>
      </w:pPr>
    </w:p>
    <w:p w:rsidR="003F0C46" w:rsidRPr="003F0C46" w:rsidRDefault="003F0C46" w:rsidP="003F0C46">
      <w:pPr>
        <w:spacing w:line="480" w:lineRule="auto"/>
        <w:ind w:firstLine="567"/>
        <w:rPr>
          <w:rFonts w:ascii="Times New Roman" w:hAnsi="Times New Roman" w:cs="Times New Roman"/>
          <w:sz w:val="26"/>
          <w:szCs w:val="26"/>
        </w:rPr>
      </w:pPr>
      <w:r w:rsidRPr="003F0C46">
        <w:rPr>
          <w:rFonts w:ascii="Times New Roman" w:hAnsi="Times New Roman" w:cs="Times New Roman"/>
          <w:sz w:val="26"/>
          <w:szCs w:val="26"/>
        </w:rPr>
        <w:t>The level-wise pattern is highly orderly. At B1, the mean IELTS overall score was 4.97 (SD = 0.19), with 97.4% of cases falling within the expected 4.0–5.0 range. At B2, the mean IELTS overall score was 6.11 (SD = 0.24), and all cases fell within the expected 5.5–6.5 range. At C1, the mean IELTS overall score was 7.74 (SD = 0.25), and all cases fell within the expected 7.0–8.0 range.</w:t>
      </w:r>
    </w:p>
    <w:p w:rsidR="003F0C46" w:rsidRPr="003F0C46" w:rsidRDefault="003F0C46" w:rsidP="003F0C46">
      <w:pPr>
        <w:spacing w:line="480" w:lineRule="auto"/>
        <w:ind w:firstLine="567"/>
        <w:rPr>
          <w:rFonts w:ascii="Times New Roman" w:hAnsi="Times New Roman" w:cs="Times New Roman"/>
          <w:sz w:val="26"/>
          <w:szCs w:val="26"/>
        </w:rPr>
      </w:pPr>
      <w:r w:rsidRPr="003F0C46">
        <w:rPr>
          <w:rFonts w:ascii="Times New Roman" w:hAnsi="Times New Roman" w:cs="Times New Roman"/>
          <w:sz w:val="26"/>
          <w:szCs w:val="26"/>
        </w:rPr>
        <w:t>Across the full dataset, 304 of the 307 matched cases produced the same CEFR classification in NOCN and IELTS, giving an overall alignment rate of 99.0%. The three non-matching cases all belonged to the NOCN B1 group but recorded IELTS 5.5, which is the lower edge of the official IELTS B2 band. These are best interpreted as boundary cases rather than evidence against the overall pattern.</w:t>
      </w:r>
    </w:p>
    <w:p w:rsidR="003F0C46" w:rsidRPr="003F0C46" w:rsidRDefault="003F0C46" w:rsidP="003F0C46">
      <w:pPr>
        <w:spacing w:line="480" w:lineRule="auto"/>
        <w:ind w:firstLine="567"/>
        <w:rPr>
          <w:rFonts w:ascii="Times New Roman" w:hAnsi="Times New Roman" w:cs="Times New Roman"/>
          <w:sz w:val="26"/>
          <w:szCs w:val="26"/>
        </w:rPr>
      </w:pPr>
      <w:r w:rsidRPr="003F0C46">
        <w:rPr>
          <w:rFonts w:ascii="Times New Roman" w:hAnsi="Times New Roman" w:cs="Times New Roman"/>
          <w:sz w:val="26"/>
          <w:szCs w:val="26"/>
        </w:rPr>
        <w:t xml:space="preserve">Between-group differences were very large. A one-way analysis of variance showed a strong separation in IELTS overall results across the three NOCN levels, F(2, 304) = </w:t>
      </w:r>
      <w:r w:rsidRPr="003F0C46">
        <w:rPr>
          <w:rFonts w:ascii="Times New Roman" w:hAnsi="Times New Roman" w:cs="Times New Roman"/>
          <w:sz w:val="26"/>
          <w:szCs w:val="26"/>
        </w:rPr>
        <w:lastRenderedPageBreak/>
        <w:t>3683.91, p &lt; .001, η² = .960. In practical terms, NOCN level accounted for approximately 96% of the variance in IELTS overall score in this dataset.</w:t>
      </w:r>
    </w:p>
    <w:p w:rsidR="003F0C46" w:rsidRPr="003F0C46" w:rsidRDefault="003F0C46" w:rsidP="003F0C46">
      <w:pPr>
        <w:spacing w:line="480" w:lineRule="auto"/>
        <w:ind w:firstLine="567"/>
        <w:rPr>
          <w:rFonts w:ascii="Times New Roman" w:hAnsi="Times New Roman" w:cs="Times New Roman"/>
          <w:sz w:val="26"/>
          <w:szCs w:val="26"/>
        </w:rPr>
      </w:pPr>
      <w:r w:rsidRPr="003F0C46">
        <w:rPr>
          <w:rFonts w:ascii="Times New Roman" w:hAnsi="Times New Roman" w:cs="Times New Roman"/>
          <w:sz w:val="26"/>
          <w:szCs w:val="26"/>
        </w:rPr>
        <w:t>The relationship between the two tests was also positive at the score level. The correlation between NOCN total score and IELTS overall score was r = .652. Skill-level correlations were moderate and consistent: Listening r = .543, Reading r = .503, Writing r = .478, and Speaking r = .520. These coefficients suggest that the two examinations measure a shared proficiency continuum while still retaining distinct task formats and scoring designs.</w:t>
      </w:r>
    </w:p>
    <w:p w:rsidR="003F0C46" w:rsidRDefault="003F0C46" w:rsidP="003F0C46">
      <w:pPr>
        <w:spacing w:line="480" w:lineRule="auto"/>
        <w:rPr>
          <w:rFonts w:ascii="Times New Roman" w:hAnsi="Times New Roman" w:cs="Times New Roman"/>
          <w:sz w:val="26"/>
          <w:szCs w:val="26"/>
        </w:rPr>
      </w:pPr>
    </w:p>
    <w:p w:rsidR="003F0C46" w:rsidRPr="003F0C46" w:rsidRDefault="003F0C46" w:rsidP="003F0C46">
      <w:pPr>
        <w:spacing w:line="480" w:lineRule="auto"/>
        <w:rPr>
          <w:rFonts w:ascii="Times New Roman" w:hAnsi="Times New Roman" w:cs="Times New Roman"/>
          <w:b/>
          <w:bCs/>
          <w:sz w:val="26"/>
          <w:szCs w:val="26"/>
        </w:rPr>
      </w:pPr>
      <w:r w:rsidRPr="003F0C46">
        <w:rPr>
          <w:rFonts w:ascii="Times New Roman" w:hAnsi="Times New Roman" w:cs="Times New Roman"/>
          <w:b/>
          <w:bCs/>
          <w:sz w:val="26"/>
          <w:szCs w:val="26"/>
        </w:rPr>
        <w:t>5. Interpretation</w:t>
      </w:r>
    </w:p>
    <w:p w:rsidR="003F0C46" w:rsidRPr="003F0C46" w:rsidRDefault="003F0C46" w:rsidP="003F0C46">
      <w:pPr>
        <w:spacing w:line="480" w:lineRule="auto"/>
        <w:ind w:firstLine="567"/>
        <w:rPr>
          <w:rFonts w:ascii="Times New Roman" w:hAnsi="Times New Roman" w:cs="Times New Roman"/>
          <w:sz w:val="26"/>
          <w:szCs w:val="26"/>
        </w:rPr>
      </w:pPr>
      <w:r w:rsidRPr="003F0C46">
        <w:rPr>
          <w:rFonts w:ascii="Times New Roman" w:hAnsi="Times New Roman" w:cs="Times New Roman"/>
          <w:sz w:val="26"/>
          <w:szCs w:val="26"/>
        </w:rPr>
        <w:t>The evidence supports a clear interpretive statement for public communication: the B1, B2 and C1 levels of NOCN ESOL International align strongly with the IELTS band ranges 4.0–5.0, 5.5–6.5 and 7.0–8.0 respectively, when the comparison is made through the CEFR.</w:t>
      </w:r>
    </w:p>
    <w:p w:rsidR="003F0C46" w:rsidRPr="003F0C46" w:rsidRDefault="003F0C46" w:rsidP="003F0C46">
      <w:pPr>
        <w:spacing w:line="480" w:lineRule="auto"/>
        <w:ind w:firstLine="567"/>
        <w:rPr>
          <w:rFonts w:ascii="Times New Roman" w:hAnsi="Times New Roman" w:cs="Times New Roman"/>
          <w:sz w:val="26"/>
          <w:szCs w:val="26"/>
        </w:rPr>
      </w:pPr>
      <w:r w:rsidRPr="003F0C46">
        <w:rPr>
          <w:rFonts w:ascii="Times New Roman" w:hAnsi="Times New Roman" w:cs="Times New Roman"/>
          <w:sz w:val="26"/>
          <w:szCs w:val="26"/>
        </w:rPr>
        <w:t>At the same time, the wording used on the NOCN website should avoid implying a direct score conversion. Official IELTS guidance states explicitly that IELTS and the CEFR were designed for different purposes and that exact one-to-one comparisons are not possible (IELTS, 2025). That caution is important, especially around boundary scores such as IELTS 5.5 and 6.5, which sit at transition points between CEFR bands.</w:t>
      </w:r>
    </w:p>
    <w:p w:rsidR="003F0C46" w:rsidRPr="003F0C46" w:rsidRDefault="003F0C46" w:rsidP="003F0C46">
      <w:pPr>
        <w:spacing w:line="480" w:lineRule="auto"/>
        <w:ind w:firstLine="567"/>
        <w:rPr>
          <w:rFonts w:ascii="Times New Roman" w:hAnsi="Times New Roman" w:cs="Times New Roman"/>
          <w:sz w:val="26"/>
          <w:szCs w:val="26"/>
        </w:rPr>
      </w:pPr>
      <w:r w:rsidRPr="003F0C46">
        <w:rPr>
          <w:rFonts w:ascii="Times New Roman" w:hAnsi="Times New Roman" w:cs="Times New Roman"/>
          <w:sz w:val="26"/>
          <w:szCs w:val="26"/>
        </w:rPr>
        <w:t>Accordingly, the most defensible formulation is that NOCN levels are benchmarked against IELTS through a shared CEFR framework, and that the present matched-candidate analysis provides empirical support for that relationship.</w:t>
      </w:r>
    </w:p>
    <w:p w:rsidR="003F0C46" w:rsidRPr="003F0C46" w:rsidRDefault="003F0C46" w:rsidP="003F0C46">
      <w:pPr>
        <w:spacing w:line="480" w:lineRule="auto"/>
        <w:rPr>
          <w:rFonts w:ascii="Times New Roman" w:hAnsi="Times New Roman" w:cs="Times New Roman"/>
          <w:b/>
          <w:bCs/>
          <w:sz w:val="26"/>
          <w:szCs w:val="26"/>
        </w:rPr>
      </w:pPr>
      <w:r w:rsidRPr="003F0C46">
        <w:rPr>
          <w:rFonts w:ascii="Times New Roman" w:hAnsi="Times New Roman" w:cs="Times New Roman"/>
          <w:b/>
          <w:bCs/>
          <w:sz w:val="26"/>
          <w:szCs w:val="26"/>
        </w:rPr>
        <w:lastRenderedPageBreak/>
        <w:t>6. Recommended wording for the NOCN website</w:t>
      </w:r>
    </w:p>
    <w:p w:rsidR="003F0C46" w:rsidRPr="003F0C46" w:rsidRDefault="003F0C46" w:rsidP="003F0C46">
      <w:pPr>
        <w:spacing w:line="480" w:lineRule="auto"/>
        <w:ind w:firstLine="567"/>
        <w:rPr>
          <w:rFonts w:ascii="Times New Roman" w:hAnsi="Times New Roman" w:cs="Times New Roman"/>
          <w:sz w:val="26"/>
          <w:szCs w:val="26"/>
        </w:rPr>
      </w:pPr>
      <w:r w:rsidRPr="003F0C46">
        <w:rPr>
          <w:rFonts w:ascii="Times New Roman" w:hAnsi="Times New Roman" w:cs="Times New Roman"/>
          <w:sz w:val="26"/>
          <w:szCs w:val="26"/>
        </w:rPr>
        <w:t>Analysis of a matched dataset of 307 candidate records indicates that NOCN ESOL International levels show a strong alignment with IELTS bands when both are interpreted through the Common European Framework of Reference for Languages (CEFR). In this dataset, 99.0% of matched cases fell into the same CEFR band across the two systems. The results support the following broad alignment: NOCN B1 with IELTS 4.0–5.0, NOCN B2 with IELTS 5.5–6.5, and NOCN C1 with IELTS 7.0–8.0. This should be understood as a CEFR-based alignment rather than a one-to-one score conversion.</w:t>
      </w:r>
    </w:p>
    <w:p w:rsidR="003F0C46" w:rsidRDefault="003F0C46" w:rsidP="003F0C46">
      <w:pPr>
        <w:spacing w:line="480" w:lineRule="auto"/>
        <w:rPr>
          <w:rFonts w:ascii="Times New Roman" w:hAnsi="Times New Roman" w:cs="Times New Roman"/>
          <w:sz w:val="26"/>
          <w:szCs w:val="26"/>
        </w:rPr>
      </w:pPr>
    </w:p>
    <w:p w:rsidR="003F0C46" w:rsidRPr="003F0C46" w:rsidRDefault="003F0C46" w:rsidP="003F0C46">
      <w:pPr>
        <w:spacing w:line="480" w:lineRule="auto"/>
        <w:rPr>
          <w:rFonts w:ascii="Times New Roman" w:hAnsi="Times New Roman" w:cs="Times New Roman"/>
          <w:b/>
          <w:bCs/>
          <w:sz w:val="26"/>
          <w:szCs w:val="26"/>
        </w:rPr>
      </w:pPr>
      <w:r w:rsidRPr="003F0C46">
        <w:rPr>
          <w:rFonts w:ascii="Times New Roman" w:hAnsi="Times New Roman" w:cs="Times New Roman"/>
          <w:b/>
          <w:bCs/>
          <w:sz w:val="26"/>
          <w:szCs w:val="26"/>
        </w:rPr>
        <w:t>7. Conclusion</w:t>
      </w:r>
    </w:p>
    <w:p w:rsidR="003F0C46" w:rsidRPr="003F0C46" w:rsidRDefault="003F0C46" w:rsidP="003F0C46">
      <w:pPr>
        <w:spacing w:line="480" w:lineRule="auto"/>
        <w:ind w:firstLine="567"/>
        <w:rPr>
          <w:rFonts w:ascii="Times New Roman" w:hAnsi="Times New Roman" w:cs="Times New Roman"/>
          <w:sz w:val="26"/>
          <w:szCs w:val="26"/>
        </w:rPr>
      </w:pPr>
      <w:r w:rsidRPr="003F0C46">
        <w:rPr>
          <w:rFonts w:ascii="Times New Roman" w:hAnsi="Times New Roman" w:cs="Times New Roman"/>
          <w:sz w:val="26"/>
          <w:szCs w:val="26"/>
        </w:rPr>
        <w:t>Taken together, the conceptual framework and the empirical evidence point in the same direction. NOCN ESOL International is explicitly structured around CEFR levels, and official IELTS materials provide a CEFR-based interpretation of band scores. When these two systems are examined through that shared framework, the alignment is strong and highly consistent.</w:t>
      </w:r>
    </w:p>
    <w:p w:rsidR="00576781" w:rsidRPr="0012747A" w:rsidRDefault="003F0C46" w:rsidP="003F0C46">
      <w:pPr>
        <w:spacing w:line="480" w:lineRule="auto"/>
        <w:ind w:firstLine="567"/>
        <w:rPr>
          <w:rFonts w:ascii="Times New Roman" w:hAnsi="Times New Roman" w:cs="Times New Roman"/>
          <w:sz w:val="26"/>
          <w:szCs w:val="26"/>
        </w:rPr>
      </w:pPr>
      <w:r w:rsidRPr="003F0C46">
        <w:rPr>
          <w:rFonts w:ascii="Times New Roman" w:hAnsi="Times New Roman" w:cs="Times New Roman"/>
          <w:sz w:val="26"/>
          <w:szCs w:val="26"/>
        </w:rPr>
        <w:t>For NOCN’s global communications, this provides a robust basis for stating that its B1, B2 and C1 examinations correspond closely to commonly recognised IELTS ranges. The scientifically responsible way to express this relationship is as CEFR-based alignment supported by matched-candidate evidence, not as a fixed conversion formula.</w:t>
      </w:r>
      <w:r w:rsidR="00576781" w:rsidRPr="0012747A">
        <w:rPr>
          <w:rFonts w:ascii="Times New Roman" w:hAnsi="Times New Roman" w:cs="Times New Roman"/>
          <w:sz w:val="26"/>
          <w:szCs w:val="26"/>
        </w:rPr>
        <w:br w:type="page"/>
      </w:r>
    </w:p>
    <w:p w:rsidR="005812A4" w:rsidRPr="0012747A" w:rsidRDefault="00576781" w:rsidP="0012747A">
      <w:pPr>
        <w:spacing w:line="480" w:lineRule="auto"/>
        <w:jc w:val="both"/>
        <w:rPr>
          <w:rFonts w:ascii="Times New Roman" w:hAnsi="Times New Roman" w:cs="Times New Roman"/>
          <w:b/>
          <w:bCs/>
          <w:sz w:val="26"/>
          <w:szCs w:val="26"/>
        </w:rPr>
      </w:pPr>
      <w:r w:rsidRPr="0012747A">
        <w:rPr>
          <w:rFonts w:ascii="Times New Roman" w:hAnsi="Times New Roman" w:cs="Times New Roman"/>
          <w:b/>
          <w:bCs/>
          <w:sz w:val="26"/>
          <w:szCs w:val="26"/>
        </w:rPr>
        <w:lastRenderedPageBreak/>
        <w:t>References</w:t>
      </w:r>
    </w:p>
    <w:p w:rsidR="003F0C46" w:rsidRPr="0012747A" w:rsidRDefault="003F0C46" w:rsidP="003F0C46">
      <w:pPr>
        <w:pStyle w:val="NormalWeb"/>
        <w:spacing w:before="0" w:beforeAutospacing="0" w:after="0" w:afterAutospacing="0" w:line="480" w:lineRule="auto"/>
        <w:ind w:firstLine="567"/>
        <w:rPr>
          <w:sz w:val="26"/>
          <w:szCs w:val="26"/>
        </w:rPr>
      </w:pPr>
      <w:r w:rsidRPr="0012747A">
        <w:rPr>
          <w:sz w:val="26"/>
          <w:szCs w:val="26"/>
        </w:rPr>
        <w:t xml:space="preserve">Council of Europe. (2009). </w:t>
      </w:r>
      <w:r w:rsidRPr="0012747A">
        <w:rPr>
          <w:rStyle w:val="Emphasis"/>
          <w:rFonts w:eastAsiaTheme="majorEastAsia"/>
          <w:sz w:val="26"/>
          <w:szCs w:val="26"/>
        </w:rPr>
        <w:t>Relating language examinations to the Common European Framework of Reference for Languages: Learning, teaching, assessment (CEFR): A manual</w:t>
      </w:r>
      <w:r w:rsidRPr="0012747A">
        <w:rPr>
          <w:sz w:val="26"/>
          <w:szCs w:val="26"/>
        </w:rPr>
        <w:t xml:space="preserve">. Language Policy Division. </w:t>
      </w:r>
    </w:p>
    <w:p w:rsidR="003F0C46" w:rsidRPr="0012747A" w:rsidRDefault="003F0C46" w:rsidP="003F0C46">
      <w:pPr>
        <w:pStyle w:val="NormalWeb"/>
        <w:spacing w:before="0" w:beforeAutospacing="0" w:after="0" w:afterAutospacing="0" w:line="480" w:lineRule="auto"/>
        <w:ind w:firstLine="567"/>
        <w:rPr>
          <w:sz w:val="26"/>
          <w:szCs w:val="26"/>
        </w:rPr>
      </w:pPr>
      <w:r w:rsidRPr="0012747A">
        <w:rPr>
          <w:sz w:val="26"/>
          <w:szCs w:val="26"/>
        </w:rPr>
        <w:t xml:space="preserve">Council of Europe. (2020). </w:t>
      </w:r>
      <w:r w:rsidRPr="0012747A">
        <w:rPr>
          <w:rStyle w:val="Emphasis"/>
          <w:rFonts w:eastAsiaTheme="majorEastAsia"/>
          <w:sz w:val="26"/>
          <w:szCs w:val="26"/>
        </w:rPr>
        <w:t>Common European Framework of Reference for Languages: Learning, teaching, assessment - Companion volume</w:t>
      </w:r>
      <w:r w:rsidRPr="0012747A">
        <w:rPr>
          <w:sz w:val="26"/>
          <w:szCs w:val="26"/>
        </w:rPr>
        <w:t xml:space="preserve">. Council of Europe Publishing. </w:t>
      </w:r>
    </w:p>
    <w:p w:rsidR="003F0C46" w:rsidRPr="0012747A" w:rsidRDefault="003F0C46" w:rsidP="003F0C46">
      <w:pPr>
        <w:pStyle w:val="NormalWeb"/>
        <w:spacing w:before="0" w:beforeAutospacing="0" w:after="0" w:afterAutospacing="0" w:line="480" w:lineRule="auto"/>
        <w:ind w:firstLine="567"/>
        <w:rPr>
          <w:sz w:val="26"/>
          <w:szCs w:val="26"/>
        </w:rPr>
      </w:pPr>
      <w:r w:rsidRPr="0012747A">
        <w:rPr>
          <w:sz w:val="26"/>
          <w:szCs w:val="26"/>
        </w:rPr>
        <w:t xml:space="preserve">IELTS. (2025). </w:t>
      </w:r>
      <w:r w:rsidRPr="0012747A">
        <w:rPr>
          <w:rStyle w:val="Emphasis"/>
          <w:rFonts w:eastAsiaTheme="majorEastAsia"/>
          <w:sz w:val="26"/>
          <w:szCs w:val="26"/>
        </w:rPr>
        <w:t>Your guide to understanding and using IELTS scores</w:t>
      </w:r>
      <w:r w:rsidRPr="0012747A">
        <w:rPr>
          <w:sz w:val="26"/>
          <w:szCs w:val="26"/>
        </w:rPr>
        <w:t xml:space="preserve">. IELTS. </w:t>
      </w:r>
    </w:p>
    <w:p w:rsidR="003F0C46" w:rsidRPr="0012747A" w:rsidRDefault="003F0C46" w:rsidP="003F0C46">
      <w:pPr>
        <w:pStyle w:val="NormalWeb"/>
        <w:spacing w:before="0" w:beforeAutospacing="0" w:after="0" w:afterAutospacing="0" w:line="480" w:lineRule="auto"/>
        <w:ind w:firstLine="567"/>
        <w:rPr>
          <w:sz w:val="26"/>
          <w:szCs w:val="26"/>
        </w:rPr>
      </w:pPr>
      <w:r w:rsidRPr="0012747A">
        <w:rPr>
          <w:sz w:val="26"/>
          <w:szCs w:val="26"/>
        </w:rPr>
        <w:t xml:space="preserve">IELTS. (n.d.). </w:t>
      </w:r>
      <w:r w:rsidRPr="0012747A">
        <w:rPr>
          <w:rStyle w:val="Emphasis"/>
          <w:rFonts w:eastAsiaTheme="majorEastAsia"/>
          <w:sz w:val="26"/>
          <w:szCs w:val="26"/>
        </w:rPr>
        <w:t>IELTS and the CEFR</w:t>
      </w:r>
      <w:r w:rsidRPr="0012747A">
        <w:rPr>
          <w:sz w:val="26"/>
          <w:szCs w:val="26"/>
        </w:rPr>
        <w:t xml:space="preserve">. IELTS. </w:t>
      </w:r>
    </w:p>
    <w:p w:rsidR="003F0C46" w:rsidRPr="0012747A" w:rsidRDefault="003F0C46" w:rsidP="003F0C46">
      <w:pPr>
        <w:pStyle w:val="NormalWeb"/>
        <w:spacing w:before="0" w:beforeAutospacing="0" w:after="0" w:afterAutospacing="0" w:line="480" w:lineRule="auto"/>
        <w:ind w:firstLine="567"/>
        <w:rPr>
          <w:sz w:val="26"/>
          <w:szCs w:val="26"/>
        </w:rPr>
      </w:pPr>
      <w:r w:rsidRPr="0012747A">
        <w:rPr>
          <w:sz w:val="26"/>
          <w:szCs w:val="26"/>
        </w:rPr>
        <w:t xml:space="preserve">IELTS. (n.d.). </w:t>
      </w:r>
      <w:r w:rsidRPr="0012747A">
        <w:rPr>
          <w:rStyle w:val="Emphasis"/>
          <w:rFonts w:eastAsiaTheme="majorEastAsia"/>
          <w:sz w:val="26"/>
          <w:szCs w:val="26"/>
        </w:rPr>
        <w:t>IELTS tests for UK Visas and Immigration</w:t>
      </w:r>
      <w:r w:rsidRPr="0012747A">
        <w:rPr>
          <w:sz w:val="26"/>
          <w:szCs w:val="26"/>
        </w:rPr>
        <w:t xml:space="preserve">. IELTS. </w:t>
      </w:r>
    </w:p>
    <w:p w:rsidR="003F0C46" w:rsidRPr="0012747A" w:rsidRDefault="003F0C46" w:rsidP="003F0C46">
      <w:pPr>
        <w:pStyle w:val="NormalWeb"/>
        <w:spacing w:before="0" w:beforeAutospacing="0" w:after="0" w:afterAutospacing="0" w:line="480" w:lineRule="auto"/>
        <w:ind w:firstLine="567"/>
        <w:rPr>
          <w:sz w:val="26"/>
          <w:szCs w:val="26"/>
        </w:rPr>
      </w:pPr>
      <w:r w:rsidRPr="0012747A">
        <w:rPr>
          <w:sz w:val="26"/>
          <w:szCs w:val="26"/>
        </w:rPr>
        <w:t xml:space="preserve">NOCN. (2024, November 6). </w:t>
      </w:r>
      <w:r w:rsidRPr="0012747A">
        <w:rPr>
          <w:rStyle w:val="Emphasis"/>
          <w:rFonts w:eastAsiaTheme="majorEastAsia"/>
          <w:sz w:val="26"/>
          <w:szCs w:val="26"/>
        </w:rPr>
        <w:t>Qualifications in ESOL International - Levels</w:t>
      </w:r>
      <w:r w:rsidRPr="0012747A">
        <w:rPr>
          <w:sz w:val="26"/>
          <w:szCs w:val="26"/>
        </w:rPr>
        <w:t xml:space="preserve">. NOCN. </w:t>
      </w:r>
    </w:p>
    <w:p w:rsidR="00576781" w:rsidRPr="0012747A" w:rsidRDefault="00576781" w:rsidP="0012747A">
      <w:pPr>
        <w:spacing w:line="480" w:lineRule="auto"/>
        <w:jc w:val="both"/>
        <w:rPr>
          <w:rFonts w:ascii="Times New Roman" w:hAnsi="Times New Roman" w:cs="Times New Roman"/>
          <w:sz w:val="26"/>
          <w:szCs w:val="26"/>
        </w:rPr>
      </w:pPr>
    </w:p>
    <w:p w:rsidR="00576781" w:rsidRPr="0012747A" w:rsidRDefault="00576781" w:rsidP="0012747A">
      <w:pPr>
        <w:spacing w:line="480" w:lineRule="auto"/>
        <w:jc w:val="both"/>
        <w:rPr>
          <w:rFonts w:ascii="Times New Roman" w:hAnsi="Times New Roman" w:cs="Times New Roman"/>
          <w:sz w:val="26"/>
          <w:szCs w:val="26"/>
        </w:rPr>
      </w:pPr>
    </w:p>
    <w:sectPr w:rsidR="00576781" w:rsidRPr="0012747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4F55" w:rsidRDefault="00BA4F55" w:rsidP="003F0C46">
      <w:r>
        <w:separator/>
      </w:r>
    </w:p>
  </w:endnote>
  <w:endnote w:type="continuationSeparator" w:id="0">
    <w:p w:rsidR="00BA4F55" w:rsidRDefault="00BA4F55" w:rsidP="003F0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4F55" w:rsidRDefault="00BA4F55" w:rsidP="003F0C46">
      <w:r>
        <w:separator/>
      </w:r>
    </w:p>
  </w:footnote>
  <w:footnote w:type="continuationSeparator" w:id="0">
    <w:p w:rsidR="00BA4F55" w:rsidRDefault="00BA4F55" w:rsidP="003F0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1679"/>
    <w:multiLevelType w:val="hybridMultilevel"/>
    <w:tmpl w:val="A2121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47034"/>
    <w:multiLevelType w:val="hybridMultilevel"/>
    <w:tmpl w:val="8C9EFC2C"/>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A609A"/>
    <w:multiLevelType w:val="hybridMultilevel"/>
    <w:tmpl w:val="8786BCE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6C86086"/>
    <w:multiLevelType w:val="hybridMultilevel"/>
    <w:tmpl w:val="851A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47A94"/>
    <w:multiLevelType w:val="hybridMultilevel"/>
    <w:tmpl w:val="B586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A3060"/>
    <w:multiLevelType w:val="hybridMultilevel"/>
    <w:tmpl w:val="07689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715699"/>
    <w:multiLevelType w:val="hybridMultilevel"/>
    <w:tmpl w:val="B2F605C8"/>
    <w:lvl w:ilvl="0" w:tplc="EFEE1038">
      <w:start w:val="5"/>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D8A0C89"/>
    <w:multiLevelType w:val="hybridMultilevel"/>
    <w:tmpl w:val="E47AAC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AB7276"/>
    <w:multiLevelType w:val="hybridMultilevel"/>
    <w:tmpl w:val="DD164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737908"/>
    <w:multiLevelType w:val="hybridMultilevel"/>
    <w:tmpl w:val="04849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31F9B"/>
    <w:multiLevelType w:val="hybridMultilevel"/>
    <w:tmpl w:val="DC8A1E90"/>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A534D7"/>
    <w:multiLevelType w:val="hybridMultilevel"/>
    <w:tmpl w:val="9F44A132"/>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77038"/>
    <w:multiLevelType w:val="hybridMultilevel"/>
    <w:tmpl w:val="EBCA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9697A"/>
    <w:multiLevelType w:val="hybridMultilevel"/>
    <w:tmpl w:val="5F7802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0794271"/>
    <w:multiLevelType w:val="hybridMultilevel"/>
    <w:tmpl w:val="5B0E8B46"/>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941433"/>
    <w:multiLevelType w:val="hybridMultilevel"/>
    <w:tmpl w:val="5816C1EA"/>
    <w:lvl w:ilvl="0" w:tplc="EFEE1038">
      <w:start w:val="5"/>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574E1F"/>
    <w:multiLevelType w:val="hybridMultilevel"/>
    <w:tmpl w:val="5E1A9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3D5996"/>
    <w:multiLevelType w:val="hybridMultilevel"/>
    <w:tmpl w:val="433E026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40094D26"/>
    <w:multiLevelType w:val="hybridMultilevel"/>
    <w:tmpl w:val="00F4DDB0"/>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746739"/>
    <w:multiLevelType w:val="hybridMultilevel"/>
    <w:tmpl w:val="A2A889B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2061C6A"/>
    <w:multiLevelType w:val="hybridMultilevel"/>
    <w:tmpl w:val="A11E8A7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8744070"/>
    <w:multiLevelType w:val="hybridMultilevel"/>
    <w:tmpl w:val="6ECC0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A2362F"/>
    <w:multiLevelType w:val="hybridMultilevel"/>
    <w:tmpl w:val="E85CA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96375F"/>
    <w:multiLevelType w:val="hybridMultilevel"/>
    <w:tmpl w:val="F96653C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4B7351F2"/>
    <w:multiLevelType w:val="hybridMultilevel"/>
    <w:tmpl w:val="FBDCC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B805B0"/>
    <w:multiLevelType w:val="hybridMultilevel"/>
    <w:tmpl w:val="DBFE36FE"/>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8414FB"/>
    <w:multiLevelType w:val="hybridMultilevel"/>
    <w:tmpl w:val="0EEAABCA"/>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CC12DD"/>
    <w:multiLevelType w:val="hybridMultilevel"/>
    <w:tmpl w:val="D3CCE8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4E74AB"/>
    <w:multiLevelType w:val="hybridMultilevel"/>
    <w:tmpl w:val="21F03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111D4C"/>
    <w:multiLevelType w:val="hybridMultilevel"/>
    <w:tmpl w:val="8EF4BBA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B051CB1"/>
    <w:multiLevelType w:val="hybridMultilevel"/>
    <w:tmpl w:val="D694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8B4063"/>
    <w:multiLevelType w:val="hybridMultilevel"/>
    <w:tmpl w:val="A80E93BE"/>
    <w:lvl w:ilvl="0" w:tplc="EFEE1038">
      <w:start w:val="5"/>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562BD7"/>
    <w:multiLevelType w:val="hybridMultilevel"/>
    <w:tmpl w:val="2BBA07BC"/>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A56761"/>
    <w:multiLevelType w:val="hybridMultilevel"/>
    <w:tmpl w:val="805CCF74"/>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25541C"/>
    <w:multiLevelType w:val="hybridMultilevel"/>
    <w:tmpl w:val="DA184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B5165D"/>
    <w:multiLevelType w:val="hybridMultilevel"/>
    <w:tmpl w:val="53DA5F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7728046F"/>
    <w:multiLevelType w:val="hybridMultilevel"/>
    <w:tmpl w:val="95BA98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78372B93"/>
    <w:multiLevelType w:val="hybridMultilevel"/>
    <w:tmpl w:val="C0AE7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D558AF"/>
    <w:multiLevelType w:val="hybridMultilevel"/>
    <w:tmpl w:val="10D6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5130134">
    <w:abstractNumId w:val="10"/>
  </w:num>
  <w:num w:numId="2" w16cid:durableId="530995023">
    <w:abstractNumId w:val="18"/>
  </w:num>
  <w:num w:numId="3" w16cid:durableId="1932084026">
    <w:abstractNumId w:val="26"/>
  </w:num>
  <w:num w:numId="4" w16cid:durableId="1630746858">
    <w:abstractNumId w:val="11"/>
  </w:num>
  <w:num w:numId="5" w16cid:durableId="1329364918">
    <w:abstractNumId w:val="25"/>
  </w:num>
  <w:num w:numId="6" w16cid:durableId="1584413033">
    <w:abstractNumId w:val="14"/>
  </w:num>
  <w:num w:numId="7" w16cid:durableId="294264255">
    <w:abstractNumId w:val="32"/>
  </w:num>
  <w:num w:numId="8" w16cid:durableId="190653118">
    <w:abstractNumId w:val="1"/>
  </w:num>
  <w:num w:numId="9" w16cid:durableId="322240664">
    <w:abstractNumId w:val="38"/>
  </w:num>
  <w:num w:numId="10" w16cid:durableId="182475806">
    <w:abstractNumId w:val="12"/>
  </w:num>
  <w:num w:numId="11" w16cid:durableId="893153229">
    <w:abstractNumId w:val="34"/>
  </w:num>
  <w:num w:numId="12" w16cid:durableId="1180005593">
    <w:abstractNumId w:val="4"/>
  </w:num>
  <w:num w:numId="13" w16cid:durableId="1276867634">
    <w:abstractNumId w:val="35"/>
  </w:num>
  <w:num w:numId="14" w16cid:durableId="1435126479">
    <w:abstractNumId w:val="16"/>
  </w:num>
  <w:num w:numId="15" w16cid:durableId="292833863">
    <w:abstractNumId w:val="28"/>
  </w:num>
  <w:num w:numId="16" w16cid:durableId="1068187739">
    <w:abstractNumId w:val="9"/>
  </w:num>
  <w:num w:numId="17" w16cid:durableId="40831095">
    <w:abstractNumId w:val="6"/>
  </w:num>
  <w:num w:numId="18" w16cid:durableId="1156804974">
    <w:abstractNumId w:val="31"/>
  </w:num>
  <w:num w:numId="19" w16cid:durableId="2095279349">
    <w:abstractNumId w:val="15"/>
  </w:num>
  <w:num w:numId="20" w16cid:durableId="353843024">
    <w:abstractNumId w:val="29"/>
  </w:num>
  <w:num w:numId="21" w16cid:durableId="198250018">
    <w:abstractNumId w:val="7"/>
  </w:num>
  <w:num w:numId="22" w16cid:durableId="1011296549">
    <w:abstractNumId w:val="8"/>
  </w:num>
  <w:num w:numId="23" w16cid:durableId="1811702472">
    <w:abstractNumId w:val="30"/>
  </w:num>
  <w:num w:numId="24" w16cid:durableId="198713893">
    <w:abstractNumId w:val="5"/>
  </w:num>
  <w:num w:numId="25" w16cid:durableId="792940751">
    <w:abstractNumId w:val="24"/>
  </w:num>
  <w:num w:numId="26" w16cid:durableId="1678658523">
    <w:abstractNumId w:val="21"/>
  </w:num>
  <w:num w:numId="27" w16cid:durableId="1214463209">
    <w:abstractNumId w:val="3"/>
  </w:num>
  <w:num w:numId="28" w16cid:durableId="555432980">
    <w:abstractNumId w:val="0"/>
  </w:num>
  <w:num w:numId="29" w16cid:durableId="2073501645">
    <w:abstractNumId w:val="13"/>
  </w:num>
  <w:num w:numId="30" w16cid:durableId="938175801">
    <w:abstractNumId w:val="36"/>
  </w:num>
  <w:num w:numId="31" w16cid:durableId="2029791609">
    <w:abstractNumId w:val="27"/>
  </w:num>
  <w:num w:numId="32" w16cid:durableId="280769857">
    <w:abstractNumId w:val="22"/>
  </w:num>
  <w:num w:numId="33" w16cid:durableId="703865744">
    <w:abstractNumId w:val="37"/>
  </w:num>
  <w:num w:numId="34" w16cid:durableId="2048599380">
    <w:abstractNumId w:val="23"/>
  </w:num>
  <w:num w:numId="35" w16cid:durableId="256867044">
    <w:abstractNumId w:val="19"/>
  </w:num>
  <w:num w:numId="36" w16cid:durableId="1522548996">
    <w:abstractNumId w:val="2"/>
  </w:num>
  <w:num w:numId="37" w16cid:durableId="1810367722">
    <w:abstractNumId w:val="17"/>
  </w:num>
  <w:num w:numId="38" w16cid:durableId="1645350550">
    <w:abstractNumId w:val="20"/>
  </w:num>
  <w:num w:numId="39" w16cid:durableId="170243840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B60"/>
    <w:rsid w:val="00082793"/>
    <w:rsid w:val="00094FFE"/>
    <w:rsid w:val="0012747A"/>
    <w:rsid w:val="00361B59"/>
    <w:rsid w:val="003D3B60"/>
    <w:rsid w:val="003F0C46"/>
    <w:rsid w:val="004576DE"/>
    <w:rsid w:val="00460234"/>
    <w:rsid w:val="00497397"/>
    <w:rsid w:val="0056764D"/>
    <w:rsid w:val="00576781"/>
    <w:rsid w:val="005812A4"/>
    <w:rsid w:val="007E31BC"/>
    <w:rsid w:val="00935B90"/>
    <w:rsid w:val="00A82111"/>
    <w:rsid w:val="00AA4A75"/>
    <w:rsid w:val="00AB00FD"/>
    <w:rsid w:val="00AF4965"/>
    <w:rsid w:val="00BA4F55"/>
    <w:rsid w:val="00D16F0B"/>
    <w:rsid w:val="00DE6639"/>
    <w:rsid w:val="00E8308F"/>
    <w:rsid w:val="00F9755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353DB"/>
  <w15:chartTrackingRefBased/>
  <w15:docId w15:val="{AFFAD5C6-D62B-C44D-9502-5F10DCF7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B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D3B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3B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3B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3B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3B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B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B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B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B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D3B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3B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3B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3B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3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B60"/>
    <w:rPr>
      <w:rFonts w:eastAsiaTheme="majorEastAsia" w:cstheme="majorBidi"/>
      <w:color w:val="272727" w:themeColor="text1" w:themeTint="D8"/>
    </w:rPr>
  </w:style>
  <w:style w:type="paragraph" w:styleId="Title">
    <w:name w:val="Title"/>
    <w:basedOn w:val="Normal"/>
    <w:next w:val="Normal"/>
    <w:link w:val="TitleChar"/>
    <w:uiPriority w:val="10"/>
    <w:qFormat/>
    <w:rsid w:val="003D3B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B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B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3B60"/>
    <w:rPr>
      <w:i/>
      <w:iCs/>
      <w:color w:val="404040" w:themeColor="text1" w:themeTint="BF"/>
    </w:rPr>
  </w:style>
  <w:style w:type="paragraph" w:styleId="ListParagraph">
    <w:name w:val="List Paragraph"/>
    <w:basedOn w:val="Normal"/>
    <w:uiPriority w:val="34"/>
    <w:qFormat/>
    <w:rsid w:val="003D3B60"/>
    <w:pPr>
      <w:ind w:left="720"/>
      <w:contextualSpacing/>
    </w:pPr>
  </w:style>
  <w:style w:type="character" w:styleId="IntenseEmphasis">
    <w:name w:val="Intense Emphasis"/>
    <w:basedOn w:val="DefaultParagraphFont"/>
    <w:uiPriority w:val="21"/>
    <w:qFormat/>
    <w:rsid w:val="003D3B60"/>
    <w:rPr>
      <w:i/>
      <w:iCs/>
      <w:color w:val="2F5496" w:themeColor="accent1" w:themeShade="BF"/>
    </w:rPr>
  </w:style>
  <w:style w:type="paragraph" w:styleId="IntenseQuote">
    <w:name w:val="Intense Quote"/>
    <w:basedOn w:val="Normal"/>
    <w:next w:val="Normal"/>
    <w:link w:val="IntenseQuoteChar"/>
    <w:uiPriority w:val="30"/>
    <w:qFormat/>
    <w:rsid w:val="003D3B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3B60"/>
    <w:rPr>
      <w:i/>
      <w:iCs/>
      <w:color w:val="2F5496" w:themeColor="accent1" w:themeShade="BF"/>
    </w:rPr>
  </w:style>
  <w:style w:type="character" w:styleId="IntenseReference">
    <w:name w:val="Intense Reference"/>
    <w:basedOn w:val="DefaultParagraphFont"/>
    <w:uiPriority w:val="32"/>
    <w:qFormat/>
    <w:rsid w:val="003D3B60"/>
    <w:rPr>
      <w:b/>
      <w:bCs/>
      <w:smallCaps/>
      <w:color w:val="2F5496" w:themeColor="accent1" w:themeShade="BF"/>
      <w:spacing w:val="5"/>
    </w:rPr>
  </w:style>
  <w:style w:type="paragraph" w:styleId="NormalWeb">
    <w:name w:val="Normal (Web)"/>
    <w:basedOn w:val="Normal"/>
    <w:uiPriority w:val="99"/>
    <w:semiHidden/>
    <w:unhideWhenUsed/>
    <w:rsid w:val="0057678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576781"/>
    <w:rPr>
      <w:i/>
      <w:iCs/>
    </w:rPr>
  </w:style>
  <w:style w:type="table" w:styleId="TableGrid">
    <w:name w:val="Table Grid"/>
    <w:basedOn w:val="TableNormal"/>
    <w:uiPriority w:val="59"/>
    <w:rsid w:val="003F0C46"/>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0C46"/>
    <w:pPr>
      <w:tabs>
        <w:tab w:val="center" w:pos="4680"/>
        <w:tab w:val="right" w:pos="9360"/>
      </w:tabs>
    </w:pPr>
  </w:style>
  <w:style w:type="character" w:customStyle="1" w:styleId="HeaderChar">
    <w:name w:val="Header Char"/>
    <w:basedOn w:val="DefaultParagraphFont"/>
    <w:link w:val="Header"/>
    <w:uiPriority w:val="99"/>
    <w:rsid w:val="003F0C46"/>
  </w:style>
  <w:style w:type="paragraph" w:styleId="Footer">
    <w:name w:val="footer"/>
    <w:basedOn w:val="Normal"/>
    <w:link w:val="FooterChar"/>
    <w:uiPriority w:val="99"/>
    <w:unhideWhenUsed/>
    <w:rsid w:val="003F0C46"/>
    <w:pPr>
      <w:tabs>
        <w:tab w:val="center" w:pos="4680"/>
        <w:tab w:val="right" w:pos="9360"/>
      </w:tabs>
    </w:pPr>
  </w:style>
  <w:style w:type="character" w:customStyle="1" w:styleId="FooterChar">
    <w:name w:val="Footer Char"/>
    <w:basedOn w:val="DefaultParagraphFont"/>
    <w:link w:val="Footer"/>
    <w:uiPriority w:val="99"/>
    <w:rsid w:val="003F0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14</Pages>
  <Words>2590</Words>
  <Characters>14768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Hoi</dc:creator>
  <cp:keywords/>
  <dc:description/>
  <cp:lastModifiedBy>Trinh Hoi</cp:lastModifiedBy>
  <cp:revision>6</cp:revision>
  <dcterms:created xsi:type="dcterms:W3CDTF">2026-03-21T14:11:00Z</dcterms:created>
  <dcterms:modified xsi:type="dcterms:W3CDTF">2026-03-25T17:22:00Z</dcterms:modified>
</cp:coreProperties>
</file>