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1AAC" w14:textId="77777777" w:rsidR="00B96810" w:rsidRDefault="00B96810" w:rsidP="005D4067">
      <w:pPr>
        <w:spacing w:line="276" w:lineRule="auto"/>
        <w:jc w:val="both"/>
        <w:rPr>
          <w:rFonts w:ascii="Times New Roman" w:hAnsi="Times New Roman" w:cs="Times New Roman"/>
          <w:b/>
          <w:bCs/>
          <w:sz w:val="26"/>
          <w:szCs w:val="26"/>
        </w:rPr>
      </w:pPr>
      <w:r w:rsidRPr="00383032">
        <w:rPr>
          <w:noProof/>
        </w:rPr>
        <w:drawing>
          <wp:anchor distT="0" distB="0" distL="114300" distR="114300" simplePos="0" relativeHeight="251658240" behindDoc="0" locked="0" layoutInCell="1" allowOverlap="1" wp14:anchorId="66E6A455" wp14:editId="393B34AF">
            <wp:simplePos x="0" y="0"/>
            <wp:positionH relativeFrom="margin">
              <wp:align>right</wp:align>
            </wp:positionH>
            <wp:positionV relativeFrom="paragraph">
              <wp:posOffset>-628073</wp:posOffset>
            </wp:positionV>
            <wp:extent cx="1265382" cy="1235905"/>
            <wp:effectExtent l="0" t="0" r="0" b="2540"/>
            <wp:wrapNone/>
            <wp:docPr id="1872563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63491" name=""/>
                    <pic:cNvPicPr/>
                  </pic:nvPicPr>
                  <pic:blipFill>
                    <a:blip r:embed="rId6">
                      <a:extLst>
                        <a:ext uri="{28A0092B-C50C-407E-A947-70E740481C1C}">
                          <a14:useLocalDpi xmlns:a14="http://schemas.microsoft.com/office/drawing/2010/main" val="0"/>
                        </a:ext>
                      </a:extLst>
                    </a:blip>
                    <a:stretch>
                      <a:fillRect/>
                    </a:stretch>
                  </pic:blipFill>
                  <pic:spPr>
                    <a:xfrm>
                      <a:off x="0" y="0"/>
                      <a:ext cx="1265382" cy="1235905"/>
                    </a:xfrm>
                    <a:prstGeom prst="rect">
                      <a:avLst/>
                    </a:prstGeom>
                  </pic:spPr>
                </pic:pic>
              </a:graphicData>
            </a:graphic>
            <wp14:sizeRelH relativeFrom="margin">
              <wp14:pctWidth>0</wp14:pctWidth>
            </wp14:sizeRelH>
            <wp14:sizeRelV relativeFrom="margin">
              <wp14:pctHeight>0</wp14:pctHeight>
            </wp14:sizeRelV>
          </wp:anchor>
        </w:drawing>
      </w:r>
    </w:p>
    <w:p w14:paraId="2D3310FA" w14:textId="77777777" w:rsidR="00B96810" w:rsidRDefault="00B96810" w:rsidP="005D4067">
      <w:pPr>
        <w:spacing w:line="276" w:lineRule="auto"/>
        <w:jc w:val="both"/>
        <w:rPr>
          <w:rFonts w:ascii="Times New Roman" w:hAnsi="Times New Roman" w:cs="Times New Roman"/>
          <w:b/>
          <w:bCs/>
          <w:sz w:val="26"/>
          <w:szCs w:val="26"/>
        </w:rPr>
      </w:pPr>
    </w:p>
    <w:p w14:paraId="1B1F0E28" w14:textId="77777777" w:rsidR="00B96810" w:rsidRDefault="00B96810" w:rsidP="005D4067">
      <w:pPr>
        <w:spacing w:line="276" w:lineRule="auto"/>
        <w:jc w:val="both"/>
        <w:rPr>
          <w:rFonts w:ascii="Times New Roman" w:hAnsi="Times New Roman" w:cs="Times New Roman"/>
          <w:b/>
          <w:bCs/>
          <w:sz w:val="26"/>
          <w:szCs w:val="26"/>
        </w:rPr>
      </w:pPr>
    </w:p>
    <w:p w14:paraId="116EC503" w14:textId="77777777" w:rsidR="00B96810" w:rsidRDefault="00B96810" w:rsidP="005D4067">
      <w:pPr>
        <w:spacing w:line="276" w:lineRule="auto"/>
        <w:jc w:val="both"/>
        <w:rPr>
          <w:rFonts w:ascii="Times New Roman" w:hAnsi="Times New Roman" w:cs="Times New Roman"/>
          <w:b/>
          <w:bCs/>
          <w:sz w:val="26"/>
          <w:szCs w:val="26"/>
        </w:rPr>
      </w:pPr>
    </w:p>
    <w:p w14:paraId="6188CB92" w14:textId="52D62EB3" w:rsidR="00B96810" w:rsidRDefault="00B96810" w:rsidP="00B70EA4">
      <w:pPr>
        <w:spacing w:line="276" w:lineRule="auto"/>
        <w:jc w:val="center"/>
        <w:rPr>
          <w:rFonts w:ascii="Times New Roman" w:hAnsi="Times New Roman" w:cs="Times New Roman"/>
          <w:b/>
          <w:bCs/>
          <w:sz w:val="26"/>
          <w:szCs w:val="26"/>
        </w:rPr>
      </w:pPr>
      <w:r w:rsidRPr="003F0C46">
        <w:rPr>
          <w:rFonts w:ascii="Times New Roman" w:hAnsi="Times New Roman" w:cs="Times New Roman"/>
          <w:b/>
          <w:bCs/>
          <w:sz w:val="26"/>
          <w:szCs w:val="26"/>
        </w:rPr>
        <w:t xml:space="preserve">Alignment of NOCN ESOL International </w:t>
      </w:r>
      <w:r>
        <w:rPr>
          <w:rFonts w:ascii="Times New Roman" w:hAnsi="Times New Roman" w:cs="Times New Roman"/>
          <w:b/>
          <w:bCs/>
          <w:sz w:val="26"/>
          <w:szCs w:val="26"/>
        </w:rPr>
        <w:t>l</w:t>
      </w:r>
      <w:r w:rsidRPr="003F0C46">
        <w:rPr>
          <w:rFonts w:ascii="Times New Roman" w:hAnsi="Times New Roman" w:cs="Times New Roman"/>
          <w:b/>
          <w:bCs/>
          <w:sz w:val="26"/>
          <w:szCs w:val="26"/>
        </w:rPr>
        <w:t>evels</w:t>
      </w:r>
    </w:p>
    <w:p w14:paraId="57F684D1" w14:textId="77777777" w:rsidR="00B96810" w:rsidRPr="003F0C46" w:rsidRDefault="00B96810" w:rsidP="00B70EA4">
      <w:pPr>
        <w:spacing w:line="276" w:lineRule="auto"/>
        <w:jc w:val="center"/>
        <w:rPr>
          <w:rFonts w:ascii="Times New Roman" w:hAnsi="Times New Roman" w:cs="Times New Roman"/>
          <w:b/>
          <w:bCs/>
          <w:sz w:val="26"/>
          <w:szCs w:val="26"/>
        </w:rPr>
      </w:pPr>
      <w:r w:rsidRPr="003F0C46">
        <w:rPr>
          <w:rFonts w:ascii="Times New Roman" w:hAnsi="Times New Roman" w:cs="Times New Roman"/>
          <w:b/>
          <w:bCs/>
          <w:sz w:val="26"/>
          <w:szCs w:val="26"/>
        </w:rPr>
        <w:t xml:space="preserve">with IELTS </w:t>
      </w:r>
      <w:r>
        <w:rPr>
          <w:rFonts w:ascii="Times New Roman" w:hAnsi="Times New Roman" w:cs="Times New Roman"/>
          <w:b/>
          <w:bCs/>
          <w:sz w:val="26"/>
          <w:szCs w:val="26"/>
        </w:rPr>
        <w:t>b</w:t>
      </w:r>
      <w:r w:rsidRPr="003F0C46">
        <w:rPr>
          <w:rFonts w:ascii="Times New Roman" w:hAnsi="Times New Roman" w:cs="Times New Roman"/>
          <w:b/>
          <w:bCs/>
          <w:sz w:val="26"/>
          <w:szCs w:val="26"/>
        </w:rPr>
        <w:t>ands through the CEFR</w:t>
      </w:r>
    </w:p>
    <w:p w14:paraId="27522B88" w14:textId="77777777" w:rsidR="00B96810" w:rsidRPr="003F0C46" w:rsidRDefault="00B96810" w:rsidP="005D4067">
      <w:pPr>
        <w:spacing w:before="240"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t>Abstract</w:t>
      </w:r>
      <w:bookmarkStart w:id="0" w:name="_GoBack"/>
      <w:bookmarkEnd w:id="0"/>
    </w:p>
    <w:p w14:paraId="165CBF93"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This report examines how NOCN ESOL International levels at B1, B2 and C1 relate to IELTS overall band scores when both systems are interpreted through the Common European Framework of Reference for Languages (CEFR). Using an internal matched dataset of 307 candidate records, the analysis found that 304 cases (99.0%) fell into the same CEFR band across NOCN and IELTS. Mean IELTS overall scores rose systematically across the three NOCN levels: 4.97 at B1, 6.11 at B2 and 7.74 at C1. The findings support a cautious but clear conclusion: NOCN B1 aligns strongly with IELTS 4.0–5.0, NOCN B2 aligns strongly with IELTS 5.5–6.5, and NOCN C1 aligns strongly with IELTS 7.0–8.0. In line with official IELTS guidance, however, this should be presented as an alignment through the CEFR rather than as a one-to-one score conversion.</w:t>
      </w:r>
    </w:p>
    <w:p w14:paraId="7F2E2298" w14:textId="77777777" w:rsidR="00B96810" w:rsidRDefault="00B96810" w:rsidP="005D4067">
      <w:pPr>
        <w:spacing w:line="276" w:lineRule="auto"/>
        <w:jc w:val="both"/>
        <w:rPr>
          <w:rFonts w:ascii="Times New Roman" w:hAnsi="Times New Roman" w:cs="Times New Roman"/>
          <w:sz w:val="26"/>
          <w:szCs w:val="26"/>
        </w:rPr>
      </w:pPr>
    </w:p>
    <w:p w14:paraId="27F22A44" w14:textId="77777777" w:rsidR="00B96810" w:rsidRPr="003F0C46" w:rsidRDefault="00B96810" w:rsidP="005D4067">
      <w:pPr>
        <w:spacing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t>1. Purpose and context</w:t>
      </w:r>
    </w:p>
    <w:p w14:paraId="104C2EB9"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This briefing has been prepared for web publication to explain how the levels of NOCN ESOL International can be interpreted alongside IELTS bands in a way that is transparent, evidence-based and methodologically cautious.</w:t>
      </w:r>
    </w:p>
    <w:p w14:paraId="55A935A3"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NOCN’s official ESOL International specification states that the qualification suite offers a comprehensive test of Listening, Reading, Writing and Speaking, and that the examinations are built around real-life scenarios. The same specification identifies Intermediate as CEFR B1, Independent User as CEFR B2, and Advanced as CEFR C1 (NOCN, 2024).</w:t>
      </w:r>
    </w:p>
    <w:p w14:paraId="577BA487"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IELTS, meanwhile, publishes an official comparison chart showing how IELTS overall band scores can be aligned to CEFR levels. At the same time, IELTS explicitly notes that IELTS and the CEFR were designed for different purposes, and that one-to-one comparisons are therefore not possible (IELTS, 2025).</w:t>
      </w:r>
    </w:p>
    <w:p w14:paraId="3D63A19D"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For that reason, the present report does not claim direct score equivalence between NOCN and IELTS. Instead, it examines whether NOCN levels and IELTS results converge at the level of CEFR interpretation.</w:t>
      </w:r>
    </w:p>
    <w:p w14:paraId="323BE452" w14:textId="77777777" w:rsidR="00B96810" w:rsidRDefault="00B96810" w:rsidP="005D4067">
      <w:pPr>
        <w:spacing w:line="276" w:lineRule="auto"/>
        <w:jc w:val="both"/>
        <w:rPr>
          <w:rFonts w:ascii="Times New Roman" w:hAnsi="Times New Roman" w:cs="Times New Roman"/>
          <w:sz w:val="26"/>
          <w:szCs w:val="26"/>
        </w:rPr>
      </w:pPr>
    </w:p>
    <w:p w14:paraId="3EB2E0ED" w14:textId="77777777" w:rsidR="00B96810" w:rsidRPr="003F0C46" w:rsidRDefault="00B96810" w:rsidP="005D4067">
      <w:pPr>
        <w:spacing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lastRenderedPageBreak/>
        <w:t>2. Conceptual basis for relating NOCN and IELTS</w:t>
      </w:r>
    </w:p>
    <w:p w14:paraId="6F6BB458"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The CEFR was designed to promote cooperation across educational systems, provide a sound basis for the mutual recognition of language qualifications, and offer a shared descriptive framework for interpreting language ability (Council of Europe, 2020). The CEFR Companion Volume further explains that the common reference levels A1 to C2 are intended to provide a common metalanguage for the language education profession and to support the recognition of courses and examinations.</w:t>
      </w:r>
    </w:p>
    <w:p w14:paraId="11F2826B"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The Council of Europe’s guidance on relating examinations to the CEFR makes clear that linking a test to CEFR levels involves establishing a correspondence between examination results and CEFR proficiency bands, whether directly or indirectly, and that such linkage requires explicit standard-setting and validation procedures (Council of Europe, 2004).</w:t>
      </w:r>
    </w:p>
    <w:p w14:paraId="1F81EC75"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In this case, the logic of comparison is indirect but well-established. NOCN declares its examination levels against the CEFR, and IELTS publishes an official CEFR alignment chart for band scores. This makes the CEFR the appropriate common reference point for a cross-test interpretation of results.</w:t>
      </w:r>
    </w:p>
    <w:p w14:paraId="56591713" w14:textId="77777777" w:rsidR="00B96810" w:rsidRDefault="00B96810" w:rsidP="005D4067">
      <w:pPr>
        <w:spacing w:line="276" w:lineRule="auto"/>
        <w:jc w:val="both"/>
        <w:rPr>
          <w:rFonts w:ascii="Times New Roman" w:hAnsi="Times New Roman" w:cs="Times New Roman"/>
          <w:sz w:val="26"/>
          <w:szCs w:val="26"/>
        </w:rPr>
      </w:pPr>
    </w:p>
    <w:p w14:paraId="32D71430" w14:textId="77777777" w:rsidR="00B96810" w:rsidRPr="003F0C46" w:rsidRDefault="00B96810" w:rsidP="005D4067">
      <w:pPr>
        <w:spacing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t>3. Data and method</w:t>
      </w:r>
    </w:p>
    <w:p w14:paraId="002E3894"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The analysis used an internal matched dataset of 307 candidate records drawn from four countries: Greece, Russia, the United Arab Emirates and India. The dataset contained 114 candidates at NOCN B1, 108 at NOCN B2, and 85 at NOCN C1.</w:t>
      </w:r>
    </w:p>
    <w:p w14:paraId="083D2FA7"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IELTS overall band scores were calculated from the four skill scores using half-band rounding. Each case was then assigned a CEFR band from IELTS overall using the operational ranges employed in the dataset: B1 for IELTS 4.0–5.0, B2 for IELTS 5.5–6.5, and C1 for IELTS 7.0–8.0. These ranges are consistent with the official IELTS-to-CEFR alignment chart published in IELTS guidance materials (IELTS, 2025).</w:t>
      </w:r>
    </w:p>
    <w:p w14:paraId="2E59E1C0"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Three forms of evidence were examined: descriptive statistics by NOCN level, the percentage of cases falling into the expected IELTS band range, and score relationships between NOCN and IELTS at overall and skill level.</w:t>
      </w:r>
    </w:p>
    <w:p w14:paraId="493660ED" w14:textId="77777777" w:rsidR="00B96810" w:rsidRDefault="00B96810" w:rsidP="005D4067">
      <w:pPr>
        <w:spacing w:line="276" w:lineRule="auto"/>
        <w:jc w:val="both"/>
        <w:rPr>
          <w:rFonts w:ascii="Times New Roman" w:hAnsi="Times New Roman" w:cs="Times New Roman"/>
          <w:sz w:val="26"/>
          <w:szCs w:val="26"/>
        </w:rPr>
      </w:pPr>
    </w:p>
    <w:p w14:paraId="46313B0D" w14:textId="77777777" w:rsidR="005D4067" w:rsidRDefault="005D4067" w:rsidP="005D4067">
      <w:pPr>
        <w:spacing w:line="276" w:lineRule="auto"/>
        <w:jc w:val="both"/>
        <w:rPr>
          <w:rFonts w:ascii="Times New Roman" w:hAnsi="Times New Roman" w:cs="Times New Roman"/>
          <w:b/>
          <w:bCs/>
          <w:sz w:val="26"/>
          <w:szCs w:val="26"/>
        </w:rPr>
      </w:pPr>
    </w:p>
    <w:p w14:paraId="69B346E0" w14:textId="77777777" w:rsidR="005D4067" w:rsidRDefault="005D4067" w:rsidP="005D4067">
      <w:pPr>
        <w:spacing w:line="276" w:lineRule="auto"/>
        <w:jc w:val="both"/>
        <w:rPr>
          <w:rFonts w:ascii="Times New Roman" w:hAnsi="Times New Roman" w:cs="Times New Roman"/>
          <w:b/>
          <w:bCs/>
          <w:sz w:val="26"/>
          <w:szCs w:val="26"/>
        </w:rPr>
      </w:pPr>
    </w:p>
    <w:p w14:paraId="1DB2E175" w14:textId="77777777" w:rsidR="005D4067" w:rsidRDefault="005D4067" w:rsidP="005D4067">
      <w:pPr>
        <w:spacing w:line="276" w:lineRule="auto"/>
        <w:jc w:val="both"/>
        <w:rPr>
          <w:rFonts w:ascii="Times New Roman" w:hAnsi="Times New Roman" w:cs="Times New Roman"/>
          <w:b/>
          <w:bCs/>
          <w:sz w:val="26"/>
          <w:szCs w:val="26"/>
        </w:rPr>
      </w:pPr>
    </w:p>
    <w:p w14:paraId="7280166C" w14:textId="77777777" w:rsidR="005D4067" w:rsidRDefault="005D4067" w:rsidP="005D4067">
      <w:pPr>
        <w:spacing w:line="276" w:lineRule="auto"/>
        <w:jc w:val="both"/>
        <w:rPr>
          <w:rFonts w:ascii="Times New Roman" w:hAnsi="Times New Roman" w:cs="Times New Roman"/>
          <w:b/>
          <w:bCs/>
          <w:sz w:val="26"/>
          <w:szCs w:val="26"/>
        </w:rPr>
      </w:pPr>
    </w:p>
    <w:p w14:paraId="36E93408" w14:textId="77777777" w:rsidR="005D4067" w:rsidRDefault="005D4067" w:rsidP="005D4067">
      <w:pPr>
        <w:spacing w:line="276" w:lineRule="auto"/>
        <w:jc w:val="both"/>
        <w:rPr>
          <w:rFonts w:ascii="Times New Roman" w:hAnsi="Times New Roman" w:cs="Times New Roman"/>
          <w:b/>
          <w:bCs/>
          <w:sz w:val="26"/>
          <w:szCs w:val="26"/>
        </w:rPr>
      </w:pPr>
    </w:p>
    <w:p w14:paraId="2B7DE80E" w14:textId="77777777" w:rsidR="005D4067" w:rsidRDefault="005D4067" w:rsidP="005D4067">
      <w:pPr>
        <w:spacing w:line="276" w:lineRule="auto"/>
        <w:jc w:val="both"/>
        <w:rPr>
          <w:rFonts w:ascii="Times New Roman" w:hAnsi="Times New Roman" w:cs="Times New Roman"/>
          <w:b/>
          <w:bCs/>
          <w:sz w:val="26"/>
          <w:szCs w:val="26"/>
        </w:rPr>
      </w:pPr>
    </w:p>
    <w:p w14:paraId="183C3010" w14:textId="77777777" w:rsidR="00B96810" w:rsidRDefault="00B96810" w:rsidP="005D4067">
      <w:pPr>
        <w:spacing w:line="276" w:lineRule="auto"/>
        <w:jc w:val="both"/>
        <w:rPr>
          <w:rFonts w:ascii="Times New Roman" w:hAnsi="Times New Roman" w:cs="Times New Roman"/>
          <w:i/>
          <w:iCs/>
          <w:sz w:val="26"/>
          <w:szCs w:val="26"/>
        </w:rPr>
      </w:pPr>
      <w:r w:rsidRPr="003F0C46">
        <w:rPr>
          <w:rFonts w:ascii="Times New Roman" w:hAnsi="Times New Roman" w:cs="Times New Roman"/>
          <w:b/>
          <w:bCs/>
          <w:sz w:val="26"/>
          <w:szCs w:val="26"/>
        </w:rPr>
        <w:lastRenderedPageBreak/>
        <w:t>4. Results</w:t>
      </w:r>
    </w:p>
    <w:p w14:paraId="580C9A85" w14:textId="77777777" w:rsidR="00B96810" w:rsidRDefault="00B96810" w:rsidP="005D4067">
      <w:pPr>
        <w:spacing w:line="276" w:lineRule="auto"/>
        <w:jc w:val="both"/>
        <w:rPr>
          <w:rFonts w:ascii="Times New Roman" w:hAnsi="Times New Roman" w:cs="Times New Roman"/>
          <w:i/>
          <w:iCs/>
          <w:sz w:val="26"/>
          <w:szCs w:val="26"/>
        </w:rPr>
      </w:pPr>
    </w:p>
    <w:p w14:paraId="7690CFCF" w14:textId="77777777" w:rsidR="00B96810" w:rsidRPr="003F0C46" w:rsidRDefault="00B96810" w:rsidP="005D4067">
      <w:pPr>
        <w:spacing w:line="276" w:lineRule="auto"/>
        <w:jc w:val="both"/>
        <w:rPr>
          <w:rFonts w:ascii="Times New Roman" w:hAnsi="Times New Roman" w:cs="Times New Roman"/>
          <w:i/>
          <w:iCs/>
          <w:sz w:val="26"/>
          <w:szCs w:val="26"/>
        </w:rPr>
      </w:pPr>
      <w:r w:rsidRPr="003F0C46">
        <w:rPr>
          <w:rFonts w:ascii="Times New Roman" w:hAnsi="Times New Roman" w:cs="Times New Roman"/>
          <w:i/>
          <w:iCs/>
          <w:sz w:val="26"/>
          <w:szCs w:val="26"/>
        </w:rPr>
        <w:t>Table 1. Summary of matched NOCN–IELTS results by level</w:t>
      </w:r>
    </w:p>
    <w:tbl>
      <w:tblPr>
        <w:tblStyle w:val="TableGrid"/>
        <w:tblW w:w="0" w:type="auto"/>
        <w:jc w:val="center"/>
        <w:tblLook w:val="04A0" w:firstRow="1" w:lastRow="0" w:firstColumn="1" w:lastColumn="0" w:noHBand="0" w:noVBand="1"/>
      </w:tblPr>
      <w:tblGrid>
        <w:gridCol w:w="1161"/>
        <w:gridCol w:w="1153"/>
        <w:gridCol w:w="606"/>
        <w:gridCol w:w="1456"/>
        <w:gridCol w:w="1759"/>
        <w:gridCol w:w="1668"/>
        <w:gridCol w:w="1547"/>
      </w:tblGrid>
      <w:tr w:rsidR="00B96810" w:rsidRPr="003F0C46" w14:paraId="353F720C" w14:textId="77777777" w:rsidTr="000A7B05">
        <w:trPr>
          <w:jc w:val="center"/>
        </w:trPr>
        <w:tc>
          <w:tcPr>
            <w:tcW w:w="0" w:type="auto"/>
            <w:shd w:val="clear" w:color="auto" w:fill="D9E2F3"/>
            <w:vAlign w:val="center"/>
          </w:tcPr>
          <w:p w14:paraId="2C811CD4"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NOCN level</w:t>
            </w:r>
          </w:p>
        </w:tc>
        <w:tc>
          <w:tcPr>
            <w:tcW w:w="0" w:type="auto"/>
            <w:shd w:val="clear" w:color="auto" w:fill="D9E2F3"/>
            <w:vAlign w:val="center"/>
          </w:tcPr>
          <w:p w14:paraId="703BC8C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CEFR target</w:t>
            </w:r>
          </w:p>
        </w:tc>
        <w:tc>
          <w:tcPr>
            <w:tcW w:w="0" w:type="auto"/>
            <w:shd w:val="clear" w:color="auto" w:fill="D9E2F3"/>
            <w:vAlign w:val="center"/>
          </w:tcPr>
          <w:p w14:paraId="409188DA"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n</w:t>
            </w:r>
          </w:p>
        </w:tc>
        <w:tc>
          <w:tcPr>
            <w:tcW w:w="0" w:type="auto"/>
            <w:shd w:val="clear" w:color="auto" w:fill="D9E2F3"/>
            <w:vAlign w:val="center"/>
          </w:tcPr>
          <w:p w14:paraId="2A3BED09"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Mean IELTS overall</w:t>
            </w:r>
          </w:p>
        </w:tc>
        <w:tc>
          <w:tcPr>
            <w:tcW w:w="0" w:type="auto"/>
            <w:shd w:val="clear" w:color="auto" w:fill="D9E2F3"/>
            <w:vAlign w:val="center"/>
          </w:tcPr>
          <w:p w14:paraId="580143F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Observed IELTS range</w:t>
            </w:r>
          </w:p>
        </w:tc>
        <w:tc>
          <w:tcPr>
            <w:tcW w:w="0" w:type="auto"/>
            <w:shd w:val="clear" w:color="auto" w:fill="D9E2F3"/>
            <w:vAlign w:val="center"/>
          </w:tcPr>
          <w:p w14:paraId="43984DF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Within expected range</w:t>
            </w:r>
          </w:p>
        </w:tc>
        <w:tc>
          <w:tcPr>
            <w:tcW w:w="0" w:type="auto"/>
            <w:shd w:val="clear" w:color="auto" w:fill="D9E2F3"/>
            <w:vAlign w:val="center"/>
          </w:tcPr>
          <w:p w14:paraId="44F2E4C7"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b/>
                <w:color w:val="000000" w:themeColor="text1"/>
                <w:sz w:val="26"/>
                <w:szCs w:val="26"/>
              </w:rPr>
              <w:t>Alignment rate</w:t>
            </w:r>
          </w:p>
        </w:tc>
      </w:tr>
      <w:tr w:rsidR="00B96810" w:rsidRPr="003F0C46" w14:paraId="44B047D1" w14:textId="77777777" w:rsidTr="000A7B05">
        <w:trPr>
          <w:jc w:val="center"/>
        </w:trPr>
        <w:tc>
          <w:tcPr>
            <w:tcW w:w="0" w:type="auto"/>
            <w:vAlign w:val="center"/>
          </w:tcPr>
          <w:p w14:paraId="5E070256"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B1</w:t>
            </w:r>
          </w:p>
        </w:tc>
        <w:tc>
          <w:tcPr>
            <w:tcW w:w="0" w:type="auto"/>
            <w:vAlign w:val="center"/>
          </w:tcPr>
          <w:p w14:paraId="4DF17E20"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B1</w:t>
            </w:r>
          </w:p>
        </w:tc>
        <w:tc>
          <w:tcPr>
            <w:tcW w:w="0" w:type="auto"/>
            <w:vAlign w:val="center"/>
          </w:tcPr>
          <w:p w14:paraId="44806625"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114</w:t>
            </w:r>
          </w:p>
        </w:tc>
        <w:tc>
          <w:tcPr>
            <w:tcW w:w="0" w:type="auto"/>
            <w:vAlign w:val="center"/>
          </w:tcPr>
          <w:p w14:paraId="0CDB6F17"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4.97</w:t>
            </w:r>
          </w:p>
        </w:tc>
        <w:tc>
          <w:tcPr>
            <w:tcW w:w="0" w:type="auto"/>
            <w:vAlign w:val="center"/>
          </w:tcPr>
          <w:p w14:paraId="59416A12"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4.0</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5.5</w:t>
            </w:r>
          </w:p>
        </w:tc>
        <w:tc>
          <w:tcPr>
            <w:tcW w:w="0" w:type="auto"/>
            <w:vAlign w:val="center"/>
          </w:tcPr>
          <w:p w14:paraId="3D8F0E87"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111/114</w:t>
            </w:r>
          </w:p>
        </w:tc>
        <w:tc>
          <w:tcPr>
            <w:tcW w:w="0" w:type="auto"/>
            <w:vAlign w:val="center"/>
          </w:tcPr>
          <w:p w14:paraId="342D30A7"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97.4%</w:t>
            </w:r>
          </w:p>
        </w:tc>
      </w:tr>
      <w:tr w:rsidR="00B96810" w:rsidRPr="003F0C46" w14:paraId="15F4F5A3" w14:textId="77777777" w:rsidTr="000A7B05">
        <w:trPr>
          <w:jc w:val="center"/>
        </w:trPr>
        <w:tc>
          <w:tcPr>
            <w:tcW w:w="0" w:type="auto"/>
            <w:vAlign w:val="center"/>
          </w:tcPr>
          <w:p w14:paraId="39BFEBE7"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B2</w:t>
            </w:r>
          </w:p>
        </w:tc>
        <w:tc>
          <w:tcPr>
            <w:tcW w:w="0" w:type="auto"/>
            <w:vAlign w:val="center"/>
          </w:tcPr>
          <w:p w14:paraId="12C9C1A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B2</w:t>
            </w:r>
          </w:p>
        </w:tc>
        <w:tc>
          <w:tcPr>
            <w:tcW w:w="0" w:type="auto"/>
            <w:vAlign w:val="center"/>
          </w:tcPr>
          <w:p w14:paraId="6116069E"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108</w:t>
            </w:r>
          </w:p>
        </w:tc>
        <w:tc>
          <w:tcPr>
            <w:tcW w:w="0" w:type="auto"/>
            <w:vAlign w:val="center"/>
          </w:tcPr>
          <w:p w14:paraId="2508C007"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6.11</w:t>
            </w:r>
          </w:p>
        </w:tc>
        <w:tc>
          <w:tcPr>
            <w:tcW w:w="0" w:type="auto"/>
            <w:vAlign w:val="center"/>
          </w:tcPr>
          <w:p w14:paraId="5BBBA435"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5.5</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6.5</w:t>
            </w:r>
          </w:p>
        </w:tc>
        <w:tc>
          <w:tcPr>
            <w:tcW w:w="0" w:type="auto"/>
            <w:vAlign w:val="center"/>
          </w:tcPr>
          <w:p w14:paraId="48977306"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108/108</w:t>
            </w:r>
          </w:p>
        </w:tc>
        <w:tc>
          <w:tcPr>
            <w:tcW w:w="0" w:type="auto"/>
            <w:vAlign w:val="center"/>
          </w:tcPr>
          <w:p w14:paraId="75248AFD"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100.0%</w:t>
            </w:r>
          </w:p>
        </w:tc>
      </w:tr>
      <w:tr w:rsidR="00B96810" w:rsidRPr="003F0C46" w14:paraId="0773C20E" w14:textId="77777777" w:rsidTr="000A7B05">
        <w:trPr>
          <w:jc w:val="center"/>
        </w:trPr>
        <w:tc>
          <w:tcPr>
            <w:tcW w:w="0" w:type="auto"/>
            <w:vAlign w:val="center"/>
          </w:tcPr>
          <w:p w14:paraId="71802D14"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C1</w:t>
            </w:r>
          </w:p>
        </w:tc>
        <w:tc>
          <w:tcPr>
            <w:tcW w:w="0" w:type="auto"/>
            <w:vAlign w:val="center"/>
          </w:tcPr>
          <w:p w14:paraId="5D4E4150"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C1</w:t>
            </w:r>
          </w:p>
        </w:tc>
        <w:tc>
          <w:tcPr>
            <w:tcW w:w="0" w:type="auto"/>
            <w:vAlign w:val="center"/>
          </w:tcPr>
          <w:p w14:paraId="1E2C8D6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85</w:t>
            </w:r>
          </w:p>
        </w:tc>
        <w:tc>
          <w:tcPr>
            <w:tcW w:w="0" w:type="auto"/>
            <w:vAlign w:val="center"/>
          </w:tcPr>
          <w:p w14:paraId="2E388A9F"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7.74</w:t>
            </w:r>
          </w:p>
        </w:tc>
        <w:tc>
          <w:tcPr>
            <w:tcW w:w="0" w:type="auto"/>
            <w:vAlign w:val="center"/>
          </w:tcPr>
          <w:p w14:paraId="4A2ABB12"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7.5</w:t>
            </w:r>
            <w:r>
              <w:rPr>
                <w:rFonts w:ascii="Times New Roman" w:hAnsi="Times New Roman" w:cs="Times New Roman"/>
                <w:color w:val="000000" w:themeColor="text1"/>
                <w:sz w:val="26"/>
                <w:szCs w:val="26"/>
              </w:rPr>
              <w:t>-</w:t>
            </w:r>
            <w:r w:rsidRPr="003F0C46">
              <w:rPr>
                <w:rFonts w:ascii="Times New Roman" w:hAnsi="Times New Roman" w:cs="Times New Roman"/>
                <w:color w:val="000000" w:themeColor="text1"/>
                <w:sz w:val="26"/>
                <w:szCs w:val="26"/>
              </w:rPr>
              <w:t>8.0</w:t>
            </w:r>
          </w:p>
        </w:tc>
        <w:tc>
          <w:tcPr>
            <w:tcW w:w="0" w:type="auto"/>
            <w:vAlign w:val="center"/>
          </w:tcPr>
          <w:p w14:paraId="64577C0D"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85/85</w:t>
            </w:r>
          </w:p>
        </w:tc>
        <w:tc>
          <w:tcPr>
            <w:tcW w:w="0" w:type="auto"/>
            <w:vAlign w:val="center"/>
          </w:tcPr>
          <w:p w14:paraId="0B3EE8C0"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100.0%</w:t>
            </w:r>
          </w:p>
        </w:tc>
      </w:tr>
      <w:tr w:rsidR="00B96810" w:rsidRPr="003F0C46" w14:paraId="080819AE" w14:textId="77777777" w:rsidTr="000A7B05">
        <w:trPr>
          <w:jc w:val="center"/>
        </w:trPr>
        <w:tc>
          <w:tcPr>
            <w:tcW w:w="0" w:type="auto"/>
            <w:vAlign w:val="center"/>
          </w:tcPr>
          <w:p w14:paraId="7EE83E5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Total</w:t>
            </w:r>
          </w:p>
        </w:tc>
        <w:tc>
          <w:tcPr>
            <w:tcW w:w="0" w:type="auto"/>
            <w:vAlign w:val="center"/>
          </w:tcPr>
          <w:p w14:paraId="2EABA236"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14:paraId="097AC3F8"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307</w:t>
            </w:r>
          </w:p>
        </w:tc>
        <w:tc>
          <w:tcPr>
            <w:tcW w:w="0" w:type="auto"/>
            <w:vAlign w:val="center"/>
          </w:tcPr>
          <w:p w14:paraId="45BCA61C"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14:paraId="713D4FAB"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w:t>
            </w:r>
          </w:p>
        </w:tc>
        <w:tc>
          <w:tcPr>
            <w:tcW w:w="0" w:type="auto"/>
            <w:vAlign w:val="center"/>
          </w:tcPr>
          <w:p w14:paraId="5826489C"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304/307</w:t>
            </w:r>
          </w:p>
        </w:tc>
        <w:tc>
          <w:tcPr>
            <w:tcW w:w="0" w:type="auto"/>
            <w:vAlign w:val="center"/>
          </w:tcPr>
          <w:p w14:paraId="4FBC5B51" w14:textId="77777777" w:rsidR="00B96810" w:rsidRPr="003F0C46" w:rsidRDefault="00B96810" w:rsidP="005D4067">
            <w:pPr>
              <w:spacing w:line="276" w:lineRule="auto"/>
              <w:jc w:val="both"/>
              <w:rPr>
                <w:rFonts w:ascii="Times New Roman" w:hAnsi="Times New Roman" w:cs="Times New Roman"/>
                <w:color w:val="000000" w:themeColor="text1"/>
                <w:sz w:val="26"/>
                <w:szCs w:val="26"/>
              </w:rPr>
            </w:pPr>
            <w:r w:rsidRPr="003F0C46">
              <w:rPr>
                <w:rFonts w:ascii="Times New Roman" w:hAnsi="Times New Roman" w:cs="Times New Roman"/>
                <w:color w:val="000000" w:themeColor="text1"/>
                <w:sz w:val="26"/>
                <w:szCs w:val="26"/>
              </w:rPr>
              <w:t>99.0%</w:t>
            </w:r>
          </w:p>
        </w:tc>
      </w:tr>
    </w:tbl>
    <w:p w14:paraId="39CDE73A" w14:textId="77777777" w:rsidR="00B96810" w:rsidRPr="003F0C46" w:rsidRDefault="00B96810" w:rsidP="005D4067">
      <w:pPr>
        <w:spacing w:line="276" w:lineRule="auto"/>
        <w:jc w:val="both"/>
        <w:rPr>
          <w:rFonts w:ascii="Times New Roman" w:hAnsi="Times New Roman" w:cs="Times New Roman"/>
          <w:b/>
          <w:bCs/>
          <w:sz w:val="26"/>
          <w:szCs w:val="26"/>
        </w:rPr>
      </w:pPr>
    </w:p>
    <w:p w14:paraId="2B2C6CB2"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The level-wise pattern is highly orderly. At B1, the mean IELTS overall score was 4.97 (SD = 0.19), with 97.4% of cases falling within the expected 4.0–5.0 range. At B2, the mean IELTS overall score was 6.11 (SD = 0.24), and all cases fell within the expected 5.5–6.5 range. At C1, the mean IELTS overall score was 7.74 (SD = 0.25), and all cases fell within the expected 7.0–8.0 range.</w:t>
      </w:r>
    </w:p>
    <w:p w14:paraId="6252AD39"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Across the full dataset, 304 of the 307 matched cases produced the same CEFR classification in NOCN and IELTS, giving an overall alignment rate of 99.0%. The three non-matching cases all belonged to the NOCN B1 group but recorded IELTS 5.5, which is the lower edge of the official IELTS B2 band. These are best interpreted as boundary cases rather than evidence against the overall pattern.</w:t>
      </w:r>
    </w:p>
    <w:p w14:paraId="18CC4544"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Between-group differences were very large. A one-way analysis of variance showed a strong separation in IELTS overall results across the three NOCN levels, F(2, 304) = 3683.91, p &lt; .001, η² = .960. In practical terms, NOCN level accounted for approximately 96% of the variance in IELTS overall score in this dataset.</w:t>
      </w:r>
    </w:p>
    <w:p w14:paraId="6F8A0835"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The relationship between the two tests was also positive at the score level. The correlation between NOCN total score and IELTS overall score was r = .652. Skill-level correlations were moderate and consistent: Listening r = .543, Reading r = .503, Writing r = .478, and Speaking r = .520. These coefficients suggest that the two examinations measure a shared proficiency continuum while still retaining distinct task formats and scoring designs.</w:t>
      </w:r>
    </w:p>
    <w:p w14:paraId="1D69D689" w14:textId="77777777" w:rsidR="00B96810" w:rsidRDefault="00B96810" w:rsidP="005D4067">
      <w:pPr>
        <w:spacing w:line="276" w:lineRule="auto"/>
        <w:jc w:val="both"/>
        <w:rPr>
          <w:rFonts w:ascii="Times New Roman" w:hAnsi="Times New Roman" w:cs="Times New Roman"/>
          <w:sz w:val="26"/>
          <w:szCs w:val="26"/>
        </w:rPr>
      </w:pPr>
    </w:p>
    <w:p w14:paraId="00581439" w14:textId="77777777" w:rsidR="00B96810" w:rsidRPr="003F0C46" w:rsidRDefault="00B96810" w:rsidP="005D4067">
      <w:pPr>
        <w:spacing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t>5. Interpretation</w:t>
      </w:r>
    </w:p>
    <w:p w14:paraId="4E0C8900"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 xml:space="preserve">The evidence supports a clear interpretive statement for public communication: the B1, B2 and C1 levels of NOCN ESOL International align strongly with the IELTS band </w:t>
      </w:r>
      <w:r w:rsidRPr="003F0C46">
        <w:rPr>
          <w:rFonts w:ascii="Times New Roman" w:hAnsi="Times New Roman" w:cs="Times New Roman"/>
          <w:sz w:val="26"/>
          <w:szCs w:val="26"/>
        </w:rPr>
        <w:lastRenderedPageBreak/>
        <w:t>ranges 4.0–5.0, 5.5–6.5 and 7.0–8.0 respectively, when the comparison is made through the CEFR.</w:t>
      </w:r>
    </w:p>
    <w:p w14:paraId="51F0AAFA"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At the same time, the wording used on the NOCN website should avoid implying a direct score conversion. Official IELTS guidance states explicitly that IELTS and the CEFR were designed for different purposes and that exact one-to-one comparisons are not possible (IELTS, 2025). That caution is important, especially around boundary scores such as IELTS 5.5 and 6.5, which sit at transition points between CEFR bands.</w:t>
      </w:r>
    </w:p>
    <w:p w14:paraId="18DC2937"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Accordingly, the most defensible formulation is that NOCN levels are benchmarked against IELTS through a shared CEFR framework, and that the present matched-candidate analysis provides empirical support for that relationship.</w:t>
      </w:r>
    </w:p>
    <w:p w14:paraId="5125E823" w14:textId="77777777" w:rsidR="00B96810" w:rsidRPr="003F0C46" w:rsidRDefault="00B96810" w:rsidP="005D4067">
      <w:pPr>
        <w:spacing w:before="240"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t>6. Recommended wording for the NOCN website</w:t>
      </w:r>
    </w:p>
    <w:p w14:paraId="364779A8"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Analysis of a matched dataset of 307 candidate records indicates that NOCN ESOL International levels show a strong alignment with IELTS bands when both are interpreted through the Common European Framework of Reference for Languages (CEFR). In this dataset, 99.0% of matched cases fell into the same CEFR band across the two systems. The results support the following broad alignment: NOCN B1 with IELTS 4.0–5.0, NOCN B2 with IELTS 5.5–6.5, and NOCN C1 with IELTS 7.0–8.0. This should be understood as a CEFR-based alignment rather than a one-to-one score conversion.</w:t>
      </w:r>
    </w:p>
    <w:p w14:paraId="6F12EDEE" w14:textId="77777777" w:rsidR="00B96810" w:rsidRDefault="00B96810" w:rsidP="005D4067">
      <w:pPr>
        <w:spacing w:line="276" w:lineRule="auto"/>
        <w:jc w:val="both"/>
        <w:rPr>
          <w:rFonts w:ascii="Times New Roman" w:hAnsi="Times New Roman" w:cs="Times New Roman"/>
          <w:sz w:val="26"/>
          <w:szCs w:val="26"/>
        </w:rPr>
      </w:pPr>
    </w:p>
    <w:p w14:paraId="443EC3BD" w14:textId="77777777" w:rsidR="00B96810" w:rsidRPr="003F0C46" w:rsidRDefault="00B96810" w:rsidP="005D4067">
      <w:pPr>
        <w:spacing w:after="240" w:line="276" w:lineRule="auto"/>
        <w:jc w:val="both"/>
        <w:rPr>
          <w:rFonts w:ascii="Times New Roman" w:hAnsi="Times New Roman" w:cs="Times New Roman"/>
          <w:b/>
          <w:bCs/>
          <w:sz w:val="26"/>
          <w:szCs w:val="26"/>
        </w:rPr>
      </w:pPr>
      <w:r w:rsidRPr="003F0C46">
        <w:rPr>
          <w:rFonts w:ascii="Times New Roman" w:hAnsi="Times New Roman" w:cs="Times New Roman"/>
          <w:b/>
          <w:bCs/>
          <w:sz w:val="26"/>
          <w:szCs w:val="26"/>
        </w:rPr>
        <w:t>7. Conclusion</w:t>
      </w:r>
    </w:p>
    <w:p w14:paraId="36E8024D" w14:textId="77777777" w:rsidR="00B96810" w:rsidRPr="003F0C46" w:rsidRDefault="00B96810" w:rsidP="005D4067">
      <w:pPr>
        <w:spacing w:line="276" w:lineRule="auto"/>
        <w:ind w:firstLine="567"/>
        <w:jc w:val="both"/>
        <w:rPr>
          <w:rFonts w:ascii="Times New Roman" w:hAnsi="Times New Roman" w:cs="Times New Roman"/>
          <w:sz w:val="26"/>
          <w:szCs w:val="26"/>
        </w:rPr>
      </w:pPr>
      <w:r w:rsidRPr="003F0C46">
        <w:rPr>
          <w:rFonts w:ascii="Times New Roman" w:hAnsi="Times New Roman" w:cs="Times New Roman"/>
          <w:sz w:val="26"/>
          <w:szCs w:val="26"/>
        </w:rPr>
        <w:t>Taken together, the conceptual framework and the empirical evidence point in the same direction. NOCN ESOL International is explicitly structured around CEFR levels, and official IELTS materials provide a CEFR-based interpretation of band scores. When these two systems are examined through that shared framework, the alignment is strong and highly consistent.</w:t>
      </w:r>
    </w:p>
    <w:p w14:paraId="7DAD193D" w14:textId="77777777" w:rsidR="00B96810" w:rsidRPr="0012747A" w:rsidRDefault="005D4067" w:rsidP="005D4067">
      <w:pPr>
        <w:spacing w:line="276" w:lineRule="auto"/>
        <w:ind w:firstLine="567"/>
        <w:jc w:val="both"/>
        <w:rPr>
          <w:rFonts w:ascii="Times New Roman" w:hAnsi="Times New Roman" w:cs="Times New Roman"/>
          <w:sz w:val="26"/>
          <w:szCs w:val="26"/>
        </w:rPr>
      </w:pPr>
      <w:r w:rsidRPr="00383032">
        <w:rPr>
          <w:noProof/>
        </w:rPr>
        <w:drawing>
          <wp:anchor distT="0" distB="0" distL="114300" distR="114300" simplePos="0" relativeHeight="251659264" behindDoc="0" locked="0" layoutInCell="1" allowOverlap="1" wp14:anchorId="11B8C1B1" wp14:editId="77EB5965">
            <wp:simplePos x="0" y="0"/>
            <wp:positionH relativeFrom="column">
              <wp:posOffset>46008</wp:posOffset>
            </wp:positionH>
            <wp:positionV relativeFrom="paragraph">
              <wp:posOffset>1038744</wp:posOffset>
            </wp:positionV>
            <wp:extent cx="2447637" cy="1176059"/>
            <wp:effectExtent l="0" t="0" r="0" b="5080"/>
            <wp:wrapNone/>
            <wp:docPr id="14992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658" name=""/>
                    <pic:cNvPicPr/>
                  </pic:nvPicPr>
                  <pic:blipFill>
                    <a:blip r:embed="rId7">
                      <a:extLst>
                        <a:ext uri="{28A0092B-C50C-407E-A947-70E740481C1C}">
                          <a14:useLocalDpi xmlns:a14="http://schemas.microsoft.com/office/drawing/2010/main" val="0"/>
                        </a:ext>
                      </a:extLst>
                    </a:blip>
                    <a:stretch>
                      <a:fillRect/>
                    </a:stretch>
                  </pic:blipFill>
                  <pic:spPr>
                    <a:xfrm>
                      <a:off x="0" y="0"/>
                      <a:ext cx="2447637" cy="1176059"/>
                    </a:xfrm>
                    <a:prstGeom prst="rect">
                      <a:avLst/>
                    </a:prstGeom>
                  </pic:spPr>
                </pic:pic>
              </a:graphicData>
            </a:graphic>
            <wp14:sizeRelH relativeFrom="margin">
              <wp14:pctWidth>0</wp14:pctWidth>
            </wp14:sizeRelH>
            <wp14:sizeRelV relativeFrom="margin">
              <wp14:pctHeight>0</wp14:pctHeight>
            </wp14:sizeRelV>
          </wp:anchor>
        </w:drawing>
      </w:r>
      <w:r w:rsidR="00B96810" w:rsidRPr="003F0C46">
        <w:rPr>
          <w:rFonts w:ascii="Times New Roman" w:hAnsi="Times New Roman" w:cs="Times New Roman"/>
          <w:sz w:val="26"/>
          <w:szCs w:val="26"/>
        </w:rPr>
        <w:t>For NOCN’s global communications, this provides a robust basis for stating that its B1, B2 and C1 examinations correspond closely to commonly recognised IELTS ranges. The scientifically responsible way to express this relationship is as CEFR-based alignment supported by matched-candidate evidence, not as a fixed conversion formula.</w:t>
      </w:r>
      <w:r w:rsidR="00B96810" w:rsidRPr="0012747A">
        <w:rPr>
          <w:rFonts w:ascii="Times New Roman" w:hAnsi="Times New Roman" w:cs="Times New Roman"/>
          <w:sz w:val="26"/>
          <w:szCs w:val="26"/>
        </w:rPr>
        <w:br w:type="page"/>
      </w:r>
    </w:p>
    <w:p w14:paraId="74AE2E1F" w14:textId="77777777" w:rsidR="00B96810" w:rsidRPr="0012747A" w:rsidRDefault="00B96810" w:rsidP="005D4067">
      <w:pPr>
        <w:spacing w:after="240" w:line="276" w:lineRule="auto"/>
        <w:jc w:val="both"/>
        <w:rPr>
          <w:rFonts w:ascii="Times New Roman" w:hAnsi="Times New Roman" w:cs="Times New Roman"/>
          <w:b/>
          <w:bCs/>
          <w:sz w:val="26"/>
          <w:szCs w:val="26"/>
        </w:rPr>
      </w:pPr>
      <w:r w:rsidRPr="0012747A">
        <w:rPr>
          <w:rFonts w:ascii="Times New Roman" w:hAnsi="Times New Roman" w:cs="Times New Roman"/>
          <w:b/>
          <w:bCs/>
          <w:sz w:val="26"/>
          <w:szCs w:val="26"/>
        </w:rPr>
        <w:lastRenderedPageBreak/>
        <w:t>References</w:t>
      </w:r>
    </w:p>
    <w:p w14:paraId="592C49EE" w14:textId="77777777" w:rsidR="00B96810" w:rsidRPr="0012747A" w:rsidRDefault="00B96810" w:rsidP="005D4067">
      <w:pPr>
        <w:pStyle w:val="NormalWeb"/>
        <w:spacing w:before="0" w:beforeAutospacing="0" w:after="0" w:afterAutospacing="0" w:line="276" w:lineRule="auto"/>
        <w:ind w:firstLine="567"/>
        <w:jc w:val="both"/>
        <w:rPr>
          <w:sz w:val="26"/>
          <w:szCs w:val="26"/>
        </w:rPr>
      </w:pPr>
      <w:r w:rsidRPr="0012747A">
        <w:rPr>
          <w:sz w:val="26"/>
          <w:szCs w:val="26"/>
        </w:rPr>
        <w:t xml:space="preserve">Council of Europe. (2009). </w:t>
      </w:r>
      <w:r w:rsidRPr="0012747A">
        <w:rPr>
          <w:rStyle w:val="Emphasis"/>
          <w:rFonts w:eastAsiaTheme="majorEastAsia"/>
          <w:sz w:val="26"/>
          <w:szCs w:val="26"/>
        </w:rPr>
        <w:t>Relating language examinations to the Common European Framework of Reference for Languages: Learning, teaching, assessment (CEFR): A manual</w:t>
      </w:r>
      <w:r w:rsidRPr="0012747A">
        <w:rPr>
          <w:sz w:val="26"/>
          <w:szCs w:val="26"/>
        </w:rPr>
        <w:t xml:space="preserve">. Language Policy Division. </w:t>
      </w:r>
    </w:p>
    <w:p w14:paraId="131D143E" w14:textId="77777777" w:rsidR="00B96810" w:rsidRPr="0012747A" w:rsidRDefault="00B96810" w:rsidP="005D4067">
      <w:pPr>
        <w:pStyle w:val="NormalWeb"/>
        <w:spacing w:before="0" w:beforeAutospacing="0" w:after="0" w:afterAutospacing="0" w:line="276" w:lineRule="auto"/>
        <w:ind w:firstLine="567"/>
        <w:jc w:val="both"/>
        <w:rPr>
          <w:sz w:val="26"/>
          <w:szCs w:val="26"/>
        </w:rPr>
      </w:pPr>
      <w:r w:rsidRPr="0012747A">
        <w:rPr>
          <w:sz w:val="26"/>
          <w:szCs w:val="26"/>
        </w:rPr>
        <w:t xml:space="preserve">Council of Europe. (2020). </w:t>
      </w:r>
      <w:r w:rsidRPr="0012747A">
        <w:rPr>
          <w:rStyle w:val="Emphasis"/>
          <w:rFonts w:eastAsiaTheme="majorEastAsia"/>
          <w:sz w:val="26"/>
          <w:szCs w:val="26"/>
        </w:rPr>
        <w:t>Common European Framework of Reference for Languages: Learning, teaching, assessment - Companion volume</w:t>
      </w:r>
      <w:r w:rsidRPr="0012747A">
        <w:rPr>
          <w:sz w:val="26"/>
          <w:szCs w:val="26"/>
        </w:rPr>
        <w:t xml:space="preserve">. Council of Europe Publishing. </w:t>
      </w:r>
    </w:p>
    <w:p w14:paraId="5D9E4DC3" w14:textId="77777777" w:rsidR="00B96810" w:rsidRPr="0012747A" w:rsidRDefault="00B96810" w:rsidP="005D4067">
      <w:pPr>
        <w:pStyle w:val="NormalWeb"/>
        <w:spacing w:before="0" w:beforeAutospacing="0" w:after="0" w:afterAutospacing="0" w:line="276" w:lineRule="auto"/>
        <w:ind w:firstLine="567"/>
        <w:jc w:val="both"/>
        <w:rPr>
          <w:sz w:val="26"/>
          <w:szCs w:val="26"/>
        </w:rPr>
      </w:pPr>
      <w:r w:rsidRPr="0012747A">
        <w:rPr>
          <w:sz w:val="26"/>
          <w:szCs w:val="26"/>
        </w:rPr>
        <w:t xml:space="preserve">IELTS. (2025). </w:t>
      </w:r>
      <w:r w:rsidRPr="0012747A">
        <w:rPr>
          <w:rStyle w:val="Emphasis"/>
          <w:rFonts w:eastAsiaTheme="majorEastAsia"/>
          <w:sz w:val="26"/>
          <w:szCs w:val="26"/>
        </w:rPr>
        <w:t>Your guide to understanding and using IELTS scores</w:t>
      </w:r>
      <w:r w:rsidRPr="0012747A">
        <w:rPr>
          <w:sz w:val="26"/>
          <w:szCs w:val="26"/>
        </w:rPr>
        <w:t xml:space="preserve">. IELTS. </w:t>
      </w:r>
    </w:p>
    <w:p w14:paraId="1D1A175F" w14:textId="77777777" w:rsidR="00B96810" w:rsidRPr="0012747A" w:rsidRDefault="00B96810" w:rsidP="005D4067">
      <w:pPr>
        <w:pStyle w:val="NormalWeb"/>
        <w:spacing w:before="0" w:beforeAutospacing="0" w:after="0" w:afterAutospacing="0" w:line="276" w:lineRule="auto"/>
        <w:ind w:firstLine="567"/>
        <w:jc w:val="both"/>
        <w:rPr>
          <w:sz w:val="26"/>
          <w:szCs w:val="26"/>
        </w:rPr>
      </w:pPr>
      <w:r w:rsidRPr="0012747A">
        <w:rPr>
          <w:sz w:val="26"/>
          <w:szCs w:val="26"/>
        </w:rPr>
        <w:t xml:space="preserve">IELTS. (n.d.). </w:t>
      </w:r>
      <w:r w:rsidRPr="0012747A">
        <w:rPr>
          <w:rStyle w:val="Emphasis"/>
          <w:rFonts w:eastAsiaTheme="majorEastAsia"/>
          <w:sz w:val="26"/>
          <w:szCs w:val="26"/>
        </w:rPr>
        <w:t>IELTS and the CEFR</w:t>
      </w:r>
      <w:r w:rsidRPr="0012747A">
        <w:rPr>
          <w:sz w:val="26"/>
          <w:szCs w:val="26"/>
        </w:rPr>
        <w:t xml:space="preserve">. IELTS. </w:t>
      </w:r>
    </w:p>
    <w:p w14:paraId="0CFF4FB6" w14:textId="77777777" w:rsidR="00B96810" w:rsidRPr="0012747A" w:rsidRDefault="00B96810" w:rsidP="005D4067">
      <w:pPr>
        <w:pStyle w:val="NormalWeb"/>
        <w:spacing w:before="0" w:beforeAutospacing="0" w:after="0" w:afterAutospacing="0" w:line="276" w:lineRule="auto"/>
        <w:ind w:firstLine="567"/>
        <w:jc w:val="both"/>
        <w:rPr>
          <w:sz w:val="26"/>
          <w:szCs w:val="26"/>
        </w:rPr>
      </w:pPr>
      <w:r w:rsidRPr="0012747A">
        <w:rPr>
          <w:sz w:val="26"/>
          <w:szCs w:val="26"/>
        </w:rPr>
        <w:t xml:space="preserve">IELTS. (n.d.). </w:t>
      </w:r>
      <w:r w:rsidRPr="0012747A">
        <w:rPr>
          <w:rStyle w:val="Emphasis"/>
          <w:rFonts w:eastAsiaTheme="majorEastAsia"/>
          <w:sz w:val="26"/>
          <w:szCs w:val="26"/>
        </w:rPr>
        <w:t>IELTS tests for UK Visas and Immigration</w:t>
      </w:r>
      <w:r w:rsidRPr="0012747A">
        <w:rPr>
          <w:sz w:val="26"/>
          <w:szCs w:val="26"/>
        </w:rPr>
        <w:t xml:space="preserve">. IELTS. </w:t>
      </w:r>
    </w:p>
    <w:p w14:paraId="39A1B56F" w14:textId="77777777" w:rsidR="00B96810" w:rsidRPr="0012747A" w:rsidRDefault="00B96810" w:rsidP="005D4067">
      <w:pPr>
        <w:pStyle w:val="NormalWeb"/>
        <w:spacing w:before="0" w:beforeAutospacing="0" w:after="0" w:afterAutospacing="0" w:line="276" w:lineRule="auto"/>
        <w:ind w:firstLine="567"/>
        <w:jc w:val="both"/>
        <w:rPr>
          <w:sz w:val="26"/>
          <w:szCs w:val="26"/>
        </w:rPr>
      </w:pPr>
      <w:r w:rsidRPr="0012747A">
        <w:rPr>
          <w:sz w:val="26"/>
          <w:szCs w:val="26"/>
        </w:rPr>
        <w:t xml:space="preserve">NOCN. (2024, November 6). </w:t>
      </w:r>
      <w:r w:rsidRPr="0012747A">
        <w:rPr>
          <w:rStyle w:val="Emphasis"/>
          <w:rFonts w:eastAsiaTheme="majorEastAsia"/>
          <w:sz w:val="26"/>
          <w:szCs w:val="26"/>
        </w:rPr>
        <w:t>Qualifications in ESOL International - Levels</w:t>
      </w:r>
      <w:r w:rsidRPr="0012747A">
        <w:rPr>
          <w:sz w:val="26"/>
          <w:szCs w:val="26"/>
        </w:rPr>
        <w:t xml:space="preserve">. NOCN. </w:t>
      </w:r>
    </w:p>
    <w:p w14:paraId="0BBA45A2" w14:textId="77777777" w:rsidR="00B96810" w:rsidRPr="0012747A" w:rsidRDefault="00B96810" w:rsidP="005D4067">
      <w:pPr>
        <w:spacing w:line="276" w:lineRule="auto"/>
        <w:jc w:val="both"/>
        <w:rPr>
          <w:rFonts w:ascii="Times New Roman" w:hAnsi="Times New Roman" w:cs="Times New Roman"/>
          <w:sz w:val="26"/>
          <w:szCs w:val="26"/>
        </w:rPr>
      </w:pPr>
    </w:p>
    <w:p w14:paraId="040E1752" w14:textId="77777777" w:rsidR="00B96810" w:rsidRPr="0012747A" w:rsidRDefault="00B96810" w:rsidP="005D4067">
      <w:pPr>
        <w:spacing w:line="276" w:lineRule="auto"/>
        <w:jc w:val="both"/>
        <w:rPr>
          <w:rFonts w:ascii="Times New Roman" w:hAnsi="Times New Roman" w:cs="Times New Roman"/>
          <w:sz w:val="26"/>
          <w:szCs w:val="26"/>
        </w:rPr>
      </w:pPr>
    </w:p>
    <w:p w14:paraId="2BA1527F" w14:textId="77777777" w:rsidR="0016297B" w:rsidRDefault="005D4067" w:rsidP="005D4067">
      <w:pPr>
        <w:jc w:val="both"/>
      </w:pPr>
      <w:r w:rsidRPr="00383032">
        <w:rPr>
          <w:noProof/>
        </w:rPr>
        <w:drawing>
          <wp:anchor distT="0" distB="0" distL="114300" distR="114300" simplePos="0" relativeHeight="251660288" behindDoc="0" locked="0" layoutInCell="1" allowOverlap="1" wp14:anchorId="1AD17D71" wp14:editId="71C6145E">
            <wp:simplePos x="0" y="0"/>
            <wp:positionH relativeFrom="margin">
              <wp:align>center</wp:align>
            </wp:positionH>
            <wp:positionV relativeFrom="paragraph">
              <wp:posOffset>4114800</wp:posOffset>
            </wp:positionV>
            <wp:extent cx="6585007" cy="888925"/>
            <wp:effectExtent l="0" t="0" r="0" b="6985"/>
            <wp:wrapNone/>
            <wp:docPr id="133103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33949" name=""/>
                    <pic:cNvPicPr/>
                  </pic:nvPicPr>
                  <pic:blipFill>
                    <a:blip r:embed="rId8">
                      <a:extLst>
                        <a:ext uri="{28A0092B-C50C-407E-A947-70E740481C1C}">
                          <a14:useLocalDpi xmlns:a14="http://schemas.microsoft.com/office/drawing/2010/main" val="0"/>
                        </a:ext>
                      </a:extLst>
                    </a:blip>
                    <a:stretch>
                      <a:fillRect/>
                    </a:stretch>
                  </pic:blipFill>
                  <pic:spPr>
                    <a:xfrm>
                      <a:off x="0" y="0"/>
                      <a:ext cx="6585007" cy="888925"/>
                    </a:xfrm>
                    <a:prstGeom prst="rect">
                      <a:avLst/>
                    </a:prstGeom>
                  </pic:spPr>
                </pic:pic>
              </a:graphicData>
            </a:graphic>
            <wp14:sizeRelH relativeFrom="margin">
              <wp14:pctWidth>0</wp14:pctWidth>
            </wp14:sizeRelH>
            <wp14:sizeRelV relativeFrom="margin">
              <wp14:pctHeight>0</wp14:pctHeight>
            </wp14:sizeRelV>
          </wp:anchor>
        </w:drawing>
      </w:r>
    </w:p>
    <w:sectPr w:rsidR="0016297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2DFF" w14:textId="77777777" w:rsidR="005C1161" w:rsidRDefault="005C1161" w:rsidP="005D4067">
      <w:r>
        <w:separator/>
      </w:r>
    </w:p>
  </w:endnote>
  <w:endnote w:type="continuationSeparator" w:id="0">
    <w:p w14:paraId="0AA1B0F9" w14:textId="77777777" w:rsidR="005C1161" w:rsidRDefault="005C1161" w:rsidP="005D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E382" w14:textId="77777777" w:rsidR="005D4067" w:rsidRDefault="005D4067">
    <w:pPr>
      <w:pStyle w:val="Footer"/>
      <w:jc w:val="right"/>
    </w:pPr>
    <w:r>
      <w:rPr>
        <w:color w:val="4472C4" w:themeColor="accent1"/>
        <w:sz w:val="20"/>
        <w:szCs w:val="20"/>
      </w:rPr>
      <w:t xml:space="preserve">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64CBB13D" w14:textId="77777777" w:rsidR="005D4067" w:rsidRDefault="005D4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15D7" w14:textId="77777777" w:rsidR="005C1161" w:rsidRDefault="005C1161" w:rsidP="005D4067">
      <w:r>
        <w:separator/>
      </w:r>
    </w:p>
  </w:footnote>
  <w:footnote w:type="continuationSeparator" w:id="0">
    <w:p w14:paraId="48FF930B" w14:textId="77777777" w:rsidR="005C1161" w:rsidRDefault="005C1161" w:rsidP="005D4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10"/>
    <w:rsid w:val="0016297B"/>
    <w:rsid w:val="005C1161"/>
    <w:rsid w:val="005D4067"/>
    <w:rsid w:val="00B70EA4"/>
    <w:rsid w:val="00B96810"/>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7159"/>
  <w15:chartTrackingRefBased/>
  <w15:docId w15:val="{093E83DF-A44A-4CE5-A211-C0F709B6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810"/>
    <w:pPr>
      <w:spacing w:after="0" w:line="240" w:lineRule="auto"/>
    </w:pPr>
    <w:rPr>
      <w:rFonts w:asciiTheme="minorHAnsi" w:hAnsiTheme="minorHAnsi"/>
      <w:kern w:val="2"/>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81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96810"/>
    <w:rPr>
      <w:i/>
      <w:iCs/>
    </w:rPr>
  </w:style>
  <w:style w:type="table" w:styleId="TableGrid">
    <w:name w:val="Table Grid"/>
    <w:basedOn w:val="TableNormal"/>
    <w:uiPriority w:val="59"/>
    <w:rsid w:val="00B9681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067"/>
    <w:pPr>
      <w:tabs>
        <w:tab w:val="center" w:pos="4680"/>
        <w:tab w:val="right" w:pos="9360"/>
      </w:tabs>
    </w:pPr>
  </w:style>
  <w:style w:type="character" w:customStyle="1" w:styleId="HeaderChar">
    <w:name w:val="Header Char"/>
    <w:basedOn w:val="DefaultParagraphFont"/>
    <w:link w:val="Header"/>
    <w:uiPriority w:val="99"/>
    <w:rsid w:val="005D4067"/>
    <w:rPr>
      <w:rFonts w:asciiTheme="minorHAnsi" w:hAnsiTheme="minorHAnsi"/>
      <w:kern w:val="2"/>
      <w:szCs w:val="24"/>
      <w:lang/>
      <w14:ligatures w14:val="standardContextual"/>
    </w:rPr>
  </w:style>
  <w:style w:type="paragraph" w:styleId="Footer">
    <w:name w:val="footer"/>
    <w:basedOn w:val="Normal"/>
    <w:link w:val="FooterChar"/>
    <w:uiPriority w:val="99"/>
    <w:unhideWhenUsed/>
    <w:rsid w:val="005D4067"/>
    <w:pPr>
      <w:tabs>
        <w:tab w:val="center" w:pos="4680"/>
        <w:tab w:val="right" w:pos="9360"/>
      </w:tabs>
    </w:pPr>
  </w:style>
  <w:style w:type="character" w:customStyle="1" w:styleId="FooterChar">
    <w:name w:val="Footer Char"/>
    <w:basedOn w:val="DefaultParagraphFont"/>
    <w:link w:val="Footer"/>
    <w:uiPriority w:val="99"/>
    <w:rsid w:val="005D4067"/>
    <w:rPr>
      <w:rFonts w:asciiTheme="minorHAnsi" w:hAnsiTheme="minorHAnsi"/>
      <w:kern w:val="2"/>
      <w:szCs w:val="24"/>
      <w:lan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2026-03-26T01:53:00Z</cp:lastPrinted>
  <dcterms:created xsi:type="dcterms:W3CDTF">2026-03-26T01:54:00Z</dcterms:created>
  <dcterms:modified xsi:type="dcterms:W3CDTF">2026-03-26T01:54:00Z</dcterms:modified>
</cp:coreProperties>
</file>